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9C" w:rsidRPr="00952AAC" w:rsidRDefault="00AF5D9C" w:rsidP="00AF5D9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bookmarkStart w:id="0" w:name="_Hlk181212766"/>
      <w:r w:rsidRPr="00952AAC">
        <w:rPr>
          <w:rFonts w:ascii="Arial" w:hAnsi="Arial" w:cs="Arial"/>
          <w:b/>
        </w:rPr>
        <w:t>NAZIV GLAVE/KORISNIKA: 4-7 THALASSOTHERAPIA OPATIJA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Helvetica" w:hAnsi="Helvetica" w:cs="Helvetica"/>
          <w:shd w:val="clear" w:color="auto" w:fill="FFFFFF"/>
        </w:rPr>
      </w:pPr>
      <w:r w:rsidRPr="00952AAC">
        <w:rPr>
          <w:rFonts w:ascii="Arial" w:hAnsi="Arial" w:cs="Arial"/>
          <w:b/>
        </w:rPr>
        <w:t>SAŽETAK DJELOKRUGA RADA: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Thalassotherapia Opatija, Specijalna bolnica za medicinsku rehabilitaciju bolesti srca, pluća i reumatizma u svojim počecima osnovana je prvenstveno radi dijagnostike i liječenja, s posebnim naglaskom na bolesti srca i krvnih žila. U listopadu 2009. godine stječe naziv Klinika za liječenje, rehabilitaciju i prevenciju bolesti srca i krvnih žila Medicinskog fakulteta u Rijeci kada u rekonstruiranom objektu Magnolija započinje s radom akutni kardiološki odjel. U današnjem opsegu i kvaliteti stručnog, znanstvenog-istraživačkog, te nastavnog rada izrasla na tradiciji dužoj od šezdeset i pet godina te godinama gradi imidž prepoznatljivih dijagnostičkih centra u području kardiologije. U današnjem opsegu, Thalassotherapia Opatija obavlja slijedeće djelatnosti:</w:t>
      </w:r>
    </w:p>
    <w:p w:rsidR="00AF5D9C" w:rsidRPr="00952AAC" w:rsidRDefault="00AF5D9C" w:rsidP="00AF5D9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Bolnička djelatnost iz kardiologije i fizikalne medicine i rehabilitacije</w:t>
      </w:r>
    </w:p>
    <w:p w:rsidR="00AF5D9C" w:rsidRPr="00952AAC" w:rsidRDefault="00AF5D9C" w:rsidP="00AF5D9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 xml:space="preserve">djelatnost medicinsko-biokemijskog laboratorija </w:t>
      </w:r>
    </w:p>
    <w:p w:rsidR="00AF5D9C" w:rsidRPr="00952AAC" w:rsidRDefault="00AF5D9C" w:rsidP="00AF5D9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specijalističko-konzilijarna djelatnost iz dermatologije i venerologije, fizikalne medicine i rehabilitacije, kardiologije, kliničke farmakologije, kliničke radiologije (CT I MR), neurologije, opće interne medicine i reumatologije</w:t>
      </w:r>
    </w:p>
    <w:p w:rsidR="00AF5D9C" w:rsidRPr="00952AAC" w:rsidRDefault="00AF5D9C" w:rsidP="00AF5D9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dnevna bolnička opskrbu u okviru ambulantnog liječenja iz djelatnosti kardiologije i reumatologije</w:t>
      </w:r>
    </w:p>
    <w:p w:rsidR="00AF5D9C" w:rsidRPr="00952AAC" w:rsidRDefault="00AF5D9C" w:rsidP="00AF5D9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znanstveno nastavna djelatnost iz područja medicine</w:t>
      </w:r>
    </w:p>
    <w:p w:rsidR="00AF5D9C" w:rsidRPr="00952AAC" w:rsidRDefault="00AF5D9C" w:rsidP="00AF5D9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djelatnost plastične, rekonstrukcijske i estetske kirurgije</w:t>
      </w:r>
    </w:p>
    <w:p w:rsidR="00AF5D9C" w:rsidRPr="00952AAC" w:rsidRDefault="00AF5D9C" w:rsidP="00AF5D9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djelatnost zdravstvenog turizma: zdravstvene usluge turistima uz prehranu i smještaj</w:t>
      </w:r>
    </w:p>
    <w:p w:rsidR="00ED0B3F" w:rsidRPr="00952AAC" w:rsidRDefault="00ED0B3F" w:rsidP="00ED0B3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Djelovanje Referentnog centra Ministarstva zdrav</w:t>
      </w:r>
      <w:r>
        <w:rPr>
          <w:rFonts w:ascii="Arial" w:hAnsi="Arial" w:cs="Arial"/>
        </w:rPr>
        <w:t>lja</w:t>
      </w:r>
      <w:r w:rsidRPr="00952AAC">
        <w:rPr>
          <w:rFonts w:ascii="Arial" w:hAnsi="Arial" w:cs="Arial"/>
        </w:rPr>
        <w:t xml:space="preserve"> za rehabilitaciju srčanih bolesnika</w:t>
      </w:r>
    </w:p>
    <w:p w:rsidR="00AF5D9C" w:rsidRPr="00952AAC" w:rsidRDefault="00AF5D9C" w:rsidP="00AF5D9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Djelovanje Referentnog centra Ministarstva zdravlja za zdravstveni turizam i medicinski programirani odmor</w:t>
      </w:r>
    </w:p>
    <w:p w:rsidR="00AF5D9C" w:rsidRPr="00ED0B3F" w:rsidRDefault="00AF5D9C" w:rsidP="00AF5D9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D0B3F">
        <w:rPr>
          <w:rFonts w:ascii="Arial" w:hAnsi="Arial" w:cs="Arial"/>
        </w:rPr>
        <w:t xml:space="preserve">Nastavne baze Medicinskog fakulteta Sveučilišta u Rijeci, </w:t>
      </w:r>
      <w:r w:rsidR="00ED0B3F" w:rsidRPr="00ED0B3F">
        <w:rPr>
          <w:rFonts w:ascii="Arial" w:hAnsi="Arial" w:cs="Arial"/>
        </w:rPr>
        <w:t xml:space="preserve">Fakulteta zdravstvenih studija u Rijeci, </w:t>
      </w:r>
      <w:r w:rsidRPr="00ED0B3F">
        <w:rPr>
          <w:rFonts w:ascii="Arial" w:hAnsi="Arial" w:cs="Arial"/>
        </w:rPr>
        <w:t>Medicinskog fakulteta Sveučilišta Josipa Jurja Strossmayera u Osijeku i Nastavna baza Fakulteta za dentalnu medicinu i zdravstvo Osijek</w:t>
      </w:r>
    </w:p>
    <w:p w:rsidR="00AF5D9C" w:rsidRPr="00952AAC" w:rsidRDefault="00AF5D9C" w:rsidP="00AF5D9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Katedra za rehabilitacijsku i sportsku medicinu Medicinskog fakulteta Sveučilišta u Rijeci</w:t>
      </w:r>
    </w:p>
    <w:p w:rsidR="00AF5D9C" w:rsidRPr="00952AAC" w:rsidRDefault="00AF5D9C" w:rsidP="00AF5D9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Katedra za fizikalnu medicinu Fakulteta zdravstvenih studija Sveučilišta u Rijeci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ORGANIZACIJSKA STRUKTURA:</w:t>
      </w:r>
    </w:p>
    <w:p w:rsidR="002D54AF" w:rsidRPr="00952AAC" w:rsidRDefault="002D54AF" w:rsidP="002D54AF">
      <w:pPr>
        <w:spacing w:after="0" w:line="240" w:lineRule="auto"/>
        <w:jc w:val="both"/>
        <w:rPr>
          <w:rFonts w:ascii="Arial" w:hAnsi="Arial" w:cs="Arial"/>
        </w:rPr>
      </w:pPr>
      <w:r w:rsidRPr="002D54AF">
        <w:rPr>
          <w:rFonts w:ascii="Arial" w:hAnsi="Arial" w:cs="Arial"/>
        </w:rPr>
        <w:t>Thalassotherapia Opatija, Specijalna bolnica za medicinsku rehabilitaciju bolesti srca, pluća i reumatizma zapošljava ukupno 324 zaposlenika, od kojih je 185 zdravstvenih zaposlenika (14 specijalista interne medicine-kardiologa, 6 specijalista kardiologije, 1 specijalist interne medicine,1 specijalist fizikalne medicine i rehabilitacije-reumatologa, 2 specijalist interne medicine-reumatologa, 5 specijalista fizikalne medicine i rehabilitacije, 1 specijalist reumatologije, 4 specijalista kliničke radiologije, 1 specijalist dermatologije i venerologije, 2 specijalist neurologije i 1 specijalist interne medicine – endokrinologije i dijabetologije, 1 specijalist endokrinologije i dijabetologije, 2 specijalista pulmologije, 1 specijalist psihijatrije, 6 doktora medicine specijalizanata, 2 specijalist medicinske biokemije te i 139 nezdravstvenih zaposlenika. Djelatnost se obavlja kroz Kliniku za liječenje, rehabilitaciju i prevenciju bolesti srca i krvnih žila koja se sastoji od Zavoda za kardiologiju i Zavoda za kardiološku rehabilitaciju, te Specijalizirane službe za funkcionalnu dijagnostiku. U sklopu Zavoda za kardiologiju i kardiološku rehabilitaciju djeluju odjeli: Odjel za kardiološku rehabilitaciju sa 78 postelja ugovorenih sa Hrvatskim zavodom za zdravstveno osiguranje, Odjel za strukturalnu bolest srca i intenzivnog kardiološkog liječenja, Odjel za ishemijsku bolest srca s laboratorijem za invazivnu i intervencijsku kardiologiju, Odjel za aritmije i elektrostimulaciju srca. U okviru odjela za kardiovaskularno oslikavanje djeluje: Ehokardiografski laboratorij, Jedinica za ultrazvučnu vaskularnu dijagnostiku, te Kardiološki funkcionalni laboratorij, a uključuje i dijagnostiku magnetskom rezonancijom i višeslojnom kompjuteriziranom tomografijom (MSCT).</w:t>
      </w:r>
      <w:bookmarkStart w:id="1" w:name="_GoBack"/>
      <w:bookmarkEnd w:id="1"/>
    </w:p>
    <w:p w:rsidR="002D54AF" w:rsidRDefault="002D54AF" w:rsidP="00AF5D9C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C12E72" w:rsidRPr="003904FF" w:rsidRDefault="00C12E72" w:rsidP="00C12E72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3904FF">
        <w:rPr>
          <w:rFonts w:ascii="Arial" w:hAnsi="Arial" w:cs="Arial"/>
          <w:b/>
          <w:i/>
          <w:sz w:val="28"/>
          <w:szCs w:val="28"/>
          <w:u w:val="single"/>
        </w:rPr>
        <w:lastRenderedPageBreak/>
        <w:t>FINANCIJSKI PLAN ZA 2026.-2028. GODINU:</w:t>
      </w:r>
    </w:p>
    <w:p w:rsidR="00FF1E95" w:rsidRDefault="00FF1E95" w:rsidP="00AF5D9C">
      <w:pPr>
        <w:spacing w:after="0" w:line="240" w:lineRule="auto"/>
        <w:jc w:val="both"/>
        <w:rPr>
          <w:rFonts w:ascii="Arial" w:hAnsi="Arial" w:cs="Arial"/>
        </w:rPr>
      </w:pPr>
    </w:p>
    <w:p w:rsidR="000D6684" w:rsidRPr="00F3429A" w:rsidRDefault="000D6684" w:rsidP="000D66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857"/>
        <w:gridCol w:w="3522"/>
        <w:gridCol w:w="1646"/>
        <w:gridCol w:w="1646"/>
        <w:gridCol w:w="1617"/>
      </w:tblGrid>
      <w:tr w:rsidR="000D6684" w:rsidRPr="00F3429A" w:rsidTr="00041333">
        <w:tc>
          <w:tcPr>
            <w:tcW w:w="817" w:type="dxa"/>
          </w:tcPr>
          <w:p w:rsidR="000D6684" w:rsidRPr="00F3429A" w:rsidRDefault="00C12E72" w:rsidP="00C12E7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3969" w:type="dxa"/>
          </w:tcPr>
          <w:p w:rsidR="000D6684" w:rsidRPr="00F3429A" w:rsidRDefault="000D6684" w:rsidP="0004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701" w:type="dxa"/>
          </w:tcPr>
          <w:p w:rsidR="000D6684" w:rsidRPr="00F3429A" w:rsidRDefault="000D6684" w:rsidP="0004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2026.</w:t>
            </w:r>
          </w:p>
        </w:tc>
        <w:tc>
          <w:tcPr>
            <w:tcW w:w="1701" w:type="dxa"/>
          </w:tcPr>
          <w:p w:rsidR="000D6684" w:rsidRPr="00F3429A" w:rsidRDefault="000D6684" w:rsidP="0004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2027.</w:t>
            </w:r>
          </w:p>
        </w:tc>
        <w:tc>
          <w:tcPr>
            <w:tcW w:w="1667" w:type="dxa"/>
          </w:tcPr>
          <w:p w:rsidR="000D6684" w:rsidRPr="00F3429A" w:rsidRDefault="000D6684" w:rsidP="0004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2028.</w:t>
            </w:r>
          </w:p>
        </w:tc>
      </w:tr>
      <w:tr w:rsidR="000D6684" w:rsidRPr="00F3429A" w:rsidTr="00041333">
        <w:tc>
          <w:tcPr>
            <w:tcW w:w="817" w:type="dxa"/>
          </w:tcPr>
          <w:p w:rsidR="000D6684" w:rsidRPr="00F3429A" w:rsidRDefault="00C12E72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4209</w:t>
            </w:r>
          </w:p>
        </w:tc>
        <w:tc>
          <w:tcPr>
            <w:tcW w:w="3969" w:type="dxa"/>
          </w:tcPr>
          <w:p w:rsidR="000D6684" w:rsidRPr="00F3429A" w:rsidRDefault="000D6684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Zdravstvena zaštita</w:t>
            </w:r>
          </w:p>
        </w:tc>
        <w:tc>
          <w:tcPr>
            <w:tcW w:w="1701" w:type="dxa"/>
          </w:tcPr>
          <w:p w:rsidR="000D6684" w:rsidRPr="00F3429A" w:rsidRDefault="000D6684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18.153.612,00</w:t>
            </w:r>
          </w:p>
        </w:tc>
        <w:tc>
          <w:tcPr>
            <w:tcW w:w="1701" w:type="dxa"/>
          </w:tcPr>
          <w:p w:rsidR="000D6684" w:rsidRPr="00F3429A" w:rsidRDefault="000D6684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19.309.559,00</w:t>
            </w:r>
          </w:p>
        </w:tc>
        <w:tc>
          <w:tcPr>
            <w:tcW w:w="1667" w:type="dxa"/>
          </w:tcPr>
          <w:p w:rsidR="000D6684" w:rsidRPr="00F3429A" w:rsidRDefault="000D6684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20.285.492,00</w:t>
            </w:r>
          </w:p>
        </w:tc>
      </w:tr>
      <w:tr w:rsidR="000D6684" w:rsidRPr="00F3429A" w:rsidTr="00041333">
        <w:tc>
          <w:tcPr>
            <w:tcW w:w="817" w:type="dxa"/>
          </w:tcPr>
          <w:p w:rsidR="000D6684" w:rsidRPr="00F3429A" w:rsidRDefault="00C12E72" w:rsidP="00C12E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4210</w:t>
            </w:r>
          </w:p>
        </w:tc>
        <w:tc>
          <w:tcPr>
            <w:tcW w:w="3969" w:type="dxa"/>
          </w:tcPr>
          <w:p w:rsidR="000D6684" w:rsidRPr="00F3429A" w:rsidRDefault="000D6684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Unaprjeđenje zdravstvene zaštite</w:t>
            </w:r>
          </w:p>
        </w:tc>
        <w:tc>
          <w:tcPr>
            <w:tcW w:w="1701" w:type="dxa"/>
          </w:tcPr>
          <w:p w:rsidR="000D6684" w:rsidRPr="00F3429A" w:rsidRDefault="000D6684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6.125.588,00</w:t>
            </w:r>
          </w:p>
        </w:tc>
        <w:tc>
          <w:tcPr>
            <w:tcW w:w="1701" w:type="dxa"/>
          </w:tcPr>
          <w:p w:rsidR="000D6684" w:rsidRPr="00F3429A" w:rsidRDefault="000D6684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2.375.641,00</w:t>
            </w:r>
          </w:p>
        </w:tc>
        <w:tc>
          <w:tcPr>
            <w:tcW w:w="1667" w:type="dxa"/>
          </w:tcPr>
          <w:p w:rsidR="000D6684" w:rsidRPr="00F3429A" w:rsidRDefault="000D6684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2.307.708,00</w:t>
            </w:r>
          </w:p>
        </w:tc>
      </w:tr>
      <w:tr w:rsidR="000D6684" w:rsidRPr="00F3429A" w:rsidTr="00041333">
        <w:tc>
          <w:tcPr>
            <w:tcW w:w="817" w:type="dxa"/>
          </w:tcPr>
          <w:p w:rsidR="000D6684" w:rsidRPr="00F3429A" w:rsidRDefault="000D6684" w:rsidP="0004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0D6684" w:rsidRPr="00F3429A" w:rsidRDefault="000D6684" w:rsidP="000D668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 xml:space="preserve">Ukupno </w:t>
            </w:r>
            <w:r>
              <w:rPr>
                <w:rFonts w:ascii="Arial" w:hAnsi="Arial" w:cs="Arial"/>
                <w:b/>
                <w:sz w:val="18"/>
                <w:szCs w:val="18"/>
              </w:rPr>
              <w:t>glava</w:t>
            </w:r>
            <w:r w:rsidRPr="00F3429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0D6684" w:rsidRPr="00F3429A" w:rsidRDefault="000D6684" w:rsidP="0004133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24.279.200,00</w:t>
            </w:r>
          </w:p>
        </w:tc>
        <w:tc>
          <w:tcPr>
            <w:tcW w:w="1701" w:type="dxa"/>
          </w:tcPr>
          <w:p w:rsidR="000D6684" w:rsidRPr="00F3429A" w:rsidRDefault="000D6684" w:rsidP="0004133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21.685.200,00</w:t>
            </w:r>
          </w:p>
        </w:tc>
        <w:tc>
          <w:tcPr>
            <w:tcW w:w="1667" w:type="dxa"/>
          </w:tcPr>
          <w:p w:rsidR="000D6684" w:rsidRPr="00F3429A" w:rsidRDefault="000D6684" w:rsidP="0004133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22.593.200,00</w:t>
            </w:r>
          </w:p>
        </w:tc>
      </w:tr>
    </w:tbl>
    <w:p w:rsidR="000D6684" w:rsidRPr="00F3429A" w:rsidRDefault="000D6684" w:rsidP="000D66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D6684" w:rsidRDefault="000D6684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2D54AF" w:rsidRDefault="00AF5D9C" w:rsidP="00AF5D9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D54AF">
        <w:rPr>
          <w:rFonts w:ascii="Arial" w:hAnsi="Arial" w:cs="Arial"/>
          <w:b/>
          <w:sz w:val="28"/>
          <w:szCs w:val="28"/>
        </w:rPr>
        <w:t>NAZIV PROGRAMA:  4209 ZDRAVSTVENA ZAŠTITA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  <w:b/>
        </w:rPr>
        <w:t xml:space="preserve">SVRHA PROGRAMA: </w:t>
      </w:r>
      <w:r>
        <w:rPr>
          <w:rFonts w:ascii="Arial" w:hAnsi="Arial" w:cs="Arial"/>
        </w:rPr>
        <w:t>Osigurati organiziranu i dostupnu</w:t>
      </w:r>
      <w:r w:rsidRPr="00952AAC">
        <w:rPr>
          <w:rFonts w:ascii="Arial" w:hAnsi="Arial" w:cs="Arial"/>
        </w:rPr>
        <w:t xml:space="preserve"> sekundarnu razinu zdravstvene zaštite te korisniku pružiti kvalitetnu i pravovremenu zdravstvenu uslugu. Osiguranjem specijalističkog zdravstvenog kadra omogućiti povećanje i razvoj svih djelatnosti zdravstvenih ustanova.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Cs/>
        </w:rPr>
      </w:pPr>
      <w:r w:rsidRPr="00952AAC">
        <w:rPr>
          <w:rFonts w:ascii="Arial" w:hAnsi="Arial" w:cs="Arial"/>
          <w:b/>
        </w:rPr>
        <w:t>POVEZANOST PROGRAMA SA STRATEŠKIM DOKUMENTIMA: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</w:rPr>
        <w:t>Plan razvoja Primorsko-goranske županije za razdoblje 2022. – 2027. godine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  <w:b/>
        </w:rPr>
        <w:t xml:space="preserve">            POSEBNI CILJ: </w:t>
      </w:r>
      <w:r w:rsidRPr="00952AAC">
        <w:rPr>
          <w:rFonts w:ascii="Arial" w:hAnsi="Arial" w:cs="Arial"/>
        </w:rPr>
        <w:t>5.1. Regija zdravlja i kvaliteta života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ind w:firstLine="708"/>
        <w:jc w:val="both"/>
        <w:rPr>
          <w:rFonts w:ascii="Arial" w:hAnsi="Arial" w:cs="Arial"/>
        </w:rPr>
      </w:pPr>
      <w:bookmarkStart w:id="2" w:name="_Hlk181562767"/>
      <w:r w:rsidRPr="00952AAC">
        <w:rPr>
          <w:rFonts w:ascii="Arial" w:hAnsi="Arial" w:cs="Arial"/>
          <w:b/>
        </w:rPr>
        <w:t xml:space="preserve">MJERA: </w:t>
      </w:r>
      <w:r w:rsidRPr="00952AAC">
        <w:rPr>
          <w:rFonts w:ascii="Arial" w:hAnsi="Arial" w:cs="Arial"/>
        </w:rPr>
        <w:t xml:space="preserve">5.1.3. Kvalitetno i održivo upravljanje, organizacija i informiranje u </w:t>
      </w:r>
    </w:p>
    <w:p w:rsidR="00AF5D9C" w:rsidRPr="00952AAC" w:rsidRDefault="00AF5D9C" w:rsidP="00AF5D9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 xml:space="preserve">                         području zdravstva</w:t>
      </w:r>
    </w:p>
    <w:p w:rsidR="00AF5D9C" w:rsidRPr="00952AAC" w:rsidRDefault="00AF5D9C" w:rsidP="00AF5D9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ab/>
        <w:t xml:space="preserve">  5.1.4. Osiguranje kvalitetnog, dostupnog i priuštivog pristupa </w:t>
      </w:r>
    </w:p>
    <w:p w:rsidR="00AF5D9C" w:rsidRPr="00952AAC" w:rsidRDefault="00AF5D9C" w:rsidP="00AF5D9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 xml:space="preserve">      zdravstvenim uslugama</w:t>
      </w:r>
    </w:p>
    <w:p w:rsidR="00AF5D9C" w:rsidRPr="00952AAC" w:rsidRDefault="00AF5D9C" w:rsidP="00AF5D9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ab/>
        <w:t xml:space="preserve">  5.1.5. Sustavno ulaganje u kvalitetu obrazovanja i usavršavanja </w:t>
      </w:r>
    </w:p>
    <w:p w:rsidR="00AF5D9C" w:rsidRPr="00952AAC" w:rsidRDefault="00AF5D9C" w:rsidP="00AF5D9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 xml:space="preserve">  zdravstvenih djelatnika</w:t>
      </w:r>
    </w:p>
    <w:bookmarkEnd w:id="2"/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 xml:space="preserve">ZAKONSKE I DRUGE PODLOGE NA KOJIMA SE PROGRAM ZASNIVA: 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Zakon o ustanovama, Zakon o zdravstvenoj zaštiti, Zakon o obveznom zdravstvenom osiguranju, Zakon o dobrovoljnom zdravstvenom osiguranju, Zakon o liječništvu, Zakon o kvaliteti zdravstvene zaštite, Zakon o zaštiti prava pacijenata.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 xml:space="preserve">ISHODIŠTE I POKAZATELJI NA KOJIMA SE ZASNIVAJU IZRAČUNI I OCJENE POTREBNIH SREDSTAVA ZA PROVOĐENJE PROGRAMA: </w:t>
      </w:r>
    </w:p>
    <w:p w:rsidR="00A67319" w:rsidRPr="00A67319" w:rsidRDefault="00A67319" w:rsidP="00A6731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67319">
        <w:rPr>
          <w:rFonts w:ascii="Arial" w:hAnsi="Arial" w:cs="Arial"/>
        </w:rPr>
        <w:t xml:space="preserve">Opisani planovi, ciljevi, izračuni i ocjene potrebnih sredstava zasnivaju se na raspoloživosti postojećih kapaciteta kako kadrovskih tako i medicinske opreme, i prostorni kapaciteti. Želimo istaknuti da su ovo stvarne veličine za koje smatramo da smo spremni ostvariti, no sve je ovisno o Ugovoru s HZZO- om koji se utvrđuje za svaku pojedinu godinu, a u nekim slučajevima i Dodatkom Ugovora tijekom godine. Za 2026. pa tako i za ostale godine planske veličine, kapaciteti i cijene usluga utvrditi će se najranije koncem ove godine temeljem provedenog natječaja od strane HZZO-a za ugovaranje zdravstvene usluge u narednoj godini. </w:t>
      </w:r>
    </w:p>
    <w:p w:rsidR="00A67319" w:rsidRPr="00A67319" w:rsidRDefault="00A67319" w:rsidP="00A6731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67319">
        <w:rPr>
          <w:rFonts w:ascii="Arial" w:hAnsi="Arial" w:cs="Arial"/>
        </w:rPr>
        <w:t xml:space="preserve">S obzirom na dosadašnje poslovanje u smislu kvalitetnog izvršavanja ugovornih obveza prema HZZO-u kao ugovornim partnerom očekujemo u navedenom periodu povećanje samog mjesečnog limita iz osnovnog zdravstvenog osiguranja pa tako i  vanlimitnih sredstava, ali i nužno povećanje cijena zdravstvenih usluga budući je nemoguće sa istim kapacitetima ostvariti takvo povećanje limita. </w:t>
      </w:r>
    </w:p>
    <w:p w:rsidR="00A67319" w:rsidRPr="00A67319" w:rsidRDefault="00A67319" w:rsidP="00A6731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67319">
        <w:rPr>
          <w:rFonts w:ascii="Arial" w:hAnsi="Arial" w:cs="Arial"/>
        </w:rPr>
        <w:t xml:space="preserve">Projekcije i planovi temelje se na stvarno mogućim realizacijama u tekućoj 2025. godini, a sve ovisno u utjecaju stanja na svjetskom tržištu u smislu nestabilnosti cijena proizvoda i </w:t>
      </w:r>
      <w:r w:rsidRPr="00A67319">
        <w:rPr>
          <w:rFonts w:ascii="Arial" w:hAnsi="Arial" w:cs="Arial"/>
        </w:rPr>
        <w:lastRenderedPageBreak/>
        <w:t xml:space="preserve">usluga što direktno utječe na rashodovnu stranu i dovođenje u pitanje održivost sustava zbog nepredvidivih utjecaja, kao i  povećanje cijena usluga ugovorenih sa HZZO-om. </w:t>
      </w:r>
    </w:p>
    <w:p w:rsidR="00A67319" w:rsidRPr="00A67319" w:rsidRDefault="00A67319" w:rsidP="00A6731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67319">
        <w:rPr>
          <w:rFonts w:ascii="Arial" w:hAnsi="Arial" w:cs="Arial"/>
        </w:rPr>
        <w:t xml:space="preserve">Isto tako važno u okviru ovog programa planira se još bolje pozicionirati na kartu zdravstvenog turizma, što je također podložno utjecaju brojnih kako domaćih tako i svjetskih trendova i faktora od nestabilnosti ulaznih cijena, ratnih zbivanja u svijetu i sl.  </w:t>
      </w:r>
    </w:p>
    <w:p w:rsidR="00A67319" w:rsidRPr="00A67319" w:rsidRDefault="00A67319" w:rsidP="00A6731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67319">
        <w:rPr>
          <w:rFonts w:ascii="Arial" w:hAnsi="Arial" w:cs="Arial"/>
        </w:rPr>
        <w:t>Već duži niz godina pružaju se preventivni pregledi za klijente brojnih domaćih osiguravajućih kuća, pravne osobe, sportske i druge udruge, kao i individualnim pacijentima, čime naša bolnica bilježi pozitivan trend u ovoj vrsti usluge kako u našoj županiji tako i na širem području.</w:t>
      </w:r>
    </w:p>
    <w:p w:rsidR="00A67319" w:rsidRPr="00A67319" w:rsidRDefault="00A67319" w:rsidP="00A6731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67319">
        <w:rPr>
          <w:rFonts w:ascii="Arial" w:hAnsi="Arial" w:cs="Arial"/>
        </w:rPr>
        <w:t>Ovdje želimo istaknuti naš strateški cilj u razvoju pulmologije i sportske medicine, gdje smo već dobro pozicionirani na domaćem tako i na ino tržištu.</w:t>
      </w:r>
    </w:p>
    <w:p w:rsidR="00A67319" w:rsidRPr="00F3429A" w:rsidRDefault="00A67319" w:rsidP="00A673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 xml:space="preserve">IZVJEŠTAJ O POSTIGNUTIM CILJEVIMA I REZULTATIMA PROGRAMA TEMELJENIM NA POKAZATELJIMA USPJEŠNOSTI U PRETHODNOJ GODINI: 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Cilj ovog programa je zadovoljiti sve potrebe pacijenata kroz pružanje zdravstvenih usluga u okviru propisanih standarda zdravstvene zaštite svim našim korisnicima. Konstantno povećanje broja korisnika i broja pružanih usluga neminovno dovodi do povećanja svih rashoda, odnosno do povećanja obima financiranja rada ustanove u ovom programu.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4710F" w:rsidRPr="00952AAC" w:rsidRDefault="00A4710F" w:rsidP="00A4710F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NAČIN I SREDSTVA ZA REALIZACIJU PROGRAMA:</w:t>
      </w:r>
    </w:p>
    <w:p w:rsidR="00336828" w:rsidRDefault="00336828" w:rsidP="00AF5D9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/>
      </w:tblPr>
      <w:tblGrid>
        <w:gridCol w:w="857"/>
        <w:gridCol w:w="3525"/>
        <w:gridCol w:w="1645"/>
        <w:gridCol w:w="1645"/>
        <w:gridCol w:w="1616"/>
      </w:tblGrid>
      <w:tr w:rsidR="00A4710F" w:rsidRPr="00F3429A" w:rsidTr="00041333">
        <w:tc>
          <w:tcPr>
            <w:tcW w:w="817" w:type="dxa"/>
          </w:tcPr>
          <w:p w:rsidR="00A4710F" w:rsidRPr="00F3429A" w:rsidRDefault="00A4710F" w:rsidP="00A471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3969" w:type="dxa"/>
          </w:tcPr>
          <w:p w:rsidR="00A4710F" w:rsidRPr="00F3429A" w:rsidRDefault="00A4710F" w:rsidP="0004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</w:tcPr>
          <w:p w:rsidR="00A4710F" w:rsidRPr="00F3429A" w:rsidRDefault="00A4710F" w:rsidP="0004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2026.</w:t>
            </w:r>
          </w:p>
        </w:tc>
        <w:tc>
          <w:tcPr>
            <w:tcW w:w="1701" w:type="dxa"/>
          </w:tcPr>
          <w:p w:rsidR="00A4710F" w:rsidRPr="00F3429A" w:rsidRDefault="00A4710F" w:rsidP="0004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2027.</w:t>
            </w:r>
          </w:p>
        </w:tc>
        <w:tc>
          <w:tcPr>
            <w:tcW w:w="1667" w:type="dxa"/>
          </w:tcPr>
          <w:p w:rsidR="00A4710F" w:rsidRPr="00F3429A" w:rsidRDefault="00A4710F" w:rsidP="0004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2028.</w:t>
            </w:r>
          </w:p>
        </w:tc>
      </w:tr>
      <w:tr w:rsidR="00A4710F" w:rsidRPr="00F3429A" w:rsidTr="00041333">
        <w:tc>
          <w:tcPr>
            <w:tcW w:w="817" w:type="dxa"/>
          </w:tcPr>
          <w:p w:rsidR="00A4710F" w:rsidRPr="00F3429A" w:rsidRDefault="00A4710F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420916</w:t>
            </w:r>
          </w:p>
        </w:tc>
        <w:tc>
          <w:tcPr>
            <w:tcW w:w="3969" w:type="dxa"/>
          </w:tcPr>
          <w:p w:rsidR="00A4710F" w:rsidRPr="00F3429A" w:rsidRDefault="00A4710F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Administracija i upravljanje</w:t>
            </w:r>
          </w:p>
        </w:tc>
        <w:tc>
          <w:tcPr>
            <w:tcW w:w="1701" w:type="dxa"/>
          </w:tcPr>
          <w:p w:rsidR="00A4710F" w:rsidRPr="00F3429A" w:rsidRDefault="00A4710F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17.753.612,00</w:t>
            </w:r>
          </w:p>
        </w:tc>
        <w:tc>
          <w:tcPr>
            <w:tcW w:w="1701" w:type="dxa"/>
          </w:tcPr>
          <w:p w:rsidR="00A4710F" w:rsidRPr="00F3429A" w:rsidRDefault="00A4710F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18.887.559,00</w:t>
            </w:r>
          </w:p>
        </w:tc>
        <w:tc>
          <w:tcPr>
            <w:tcW w:w="1667" w:type="dxa"/>
          </w:tcPr>
          <w:p w:rsidR="00A4710F" w:rsidRPr="00F3429A" w:rsidRDefault="00A4710F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19.842.492,00</w:t>
            </w:r>
          </w:p>
        </w:tc>
      </w:tr>
      <w:tr w:rsidR="00A4710F" w:rsidRPr="00F3429A" w:rsidTr="00041333">
        <w:tc>
          <w:tcPr>
            <w:tcW w:w="817" w:type="dxa"/>
          </w:tcPr>
          <w:p w:rsidR="00A4710F" w:rsidRPr="00F3429A" w:rsidRDefault="00A4710F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420917</w:t>
            </w:r>
          </w:p>
        </w:tc>
        <w:tc>
          <w:tcPr>
            <w:tcW w:w="3969" w:type="dxa"/>
          </w:tcPr>
          <w:p w:rsidR="00A4710F" w:rsidRPr="00F3429A" w:rsidRDefault="00A4710F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Specijalizacije doktora medicine</w:t>
            </w:r>
          </w:p>
        </w:tc>
        <w:tc>
          <w:tcPr>
            <w:tcW w:w="1701" w:type="dxa"/>
          </w:tcPr>
          <w:p w:rsidR="00A4710F" w:rsidRPr="00F3429A" w:rsidRDefault="00A4710F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400.000,00</w:t>
            </w:r>
          </w:p>
        </w:tc>
        <w:tc>
          <w:tcPr>
            <w:tcW w:w="1701" w:type="dxa"/>
          </w:tcPr>
          <w:p w:rsidR="00A4710F" w:rsidRPr="00F3429A" w:rsidRDefault="00A4710F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422.000,00</w:t>
            </w:r>
          </w:p>
        </w:tc>
        <w:tc>
          <w:tcPr>
            <w:tcW w:w="1667" w:type="dxa"/>
          </w:tcPr>
          <w:p w:rsidR="00A4710F" w:rsidRPr="00F3429A" w:rsidRDefault="00A4710F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429A">
              <w:rPr>
                <w:rFonts w:ascii="Arial" w:hAnsi="Arial" w:cs="Arial"/>
                <w:sz w:val="18"/>
                <w:szCs w:val="18"/>
              </w:rPr>
              <w:t>443.000,00</w:t>
            </w:r>
          </w:p>
        </w:tc>
      </w:tr>
      <w:tr w:rsidR="00A4710F" w:rsidRPr="00F3429A" w:rsidTr="00041333">
        <w:tc>
          <w:tcPr>
            <w:tcW w:w="817" w:type="dxa"/>
          </w:tcPr>
          <w:p w:rsidR="00A4710F" w:rsidRPr="00F3429A" w:rsidRDefault="00A4710F" w:rsidP="0004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A4710F" w:rsidRPr="00F3429A" w:rsidRDefault="00A4710F" w:rsidP="00A471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 xml:space="preserve">Ukupno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F3429A">
              <w:rPr>
                <w:rFonts w:ascii="Arial" w:hAnsi="Arial" w:cs="Arial"/>
                <w:b/>
                <w:sz w:val="18"/>
                <w:szCs w:val="18"/>
              </w:rPr>
              <w:t>rogram:</w:t>
            </w:r>
          </w:p>
        </w:tc>
        <w:tc>
          <w:tcPr>
            <w:tcW w:w="1701" w:type="dxa"/>
          </w:tcPr>
          <w:p w:rsidR="00A4710F" w:rsidRPr="00F3429A" w:rsidRDefault="00A4710F" w:rsidP="0004133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18.153.612,00</w:t>
            </w:r>
          </w:p>
        </w:tc>
        <w:tc>
          <w:tcPr>
            <w:tcW w:w="1701" w:type="dxa"/>
          </w:tcPr>
          <w:p w:rsidR="00A4710F" w:rsidRPr="00F3429A" w:rsidRDefault="00A4710F" w:rsidP="0004133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19.309.559,00</w:t>
            </w:r>
          </w:p>
        </w:tc>
        <w:tc>
          <w:tcPr>
            <w:tcW w:w="1667" w:type="dxa"/>
          </w:tcPr>
          <w:p w:rsidR="00A4710F" w:rsidRPr="00F3429A" w:rsidRDefault="00A4710F" w:rsidP="0004133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429A">
              <w:rPr>
                <w:rFonts w:ascii="Arial" w:hAnsi="Arial" w:cs="Arial"/>
                <w:b/>
                <w:sz w:val="18"/>
                <w:szCs w:val="18"/>
              </w:rPr>
              <w:t>20.285.492,00</w:t>
            </w:r>
          </w:p>
        </w:tc>
      </w:tr>
    </w:tbl>
    <w:p w:rsidR="00336828" w:rsidRDefault="00336828" w:rsidP="00AF5D9C">
      <w:pPr>
        <w:spacing w:after="0" w:line="240" w:lineRule="auto"/>
        <w:rPr>
          <w:rFonts w:ascii="Arial" w:hAnsi="Arial" w:cs="Arial"/>
          <w:b/>
        </w:rPr>
      </w:pPr>
    </w:p>
    <w:p w:rsidR="00336828" w:rsidRDefault="00336828" w:rsidP="00AF5D9C">
      <w:pPr>
        <w:spacing w:after="0" w:line="240" w:lineRule="auto"/>
        <w:rPr>
          <w:rFonts w:ascii="Arial" w:hAnsi="Arial" w:cs="Arial"/>
          <w:b/>
        </w:rPr>
      </w:pPr>
    </w:p>
    <w:p w:rsidR="00336828" w:rsidRDefault="00336828" w:rsidP="00AF5D9C">
      <w:pPr>
        <w:spacing w:after="0" w:line="240" w:lineRule="auto"/>
        <w:rPr>
          <w:rFonts w:ascii="Arial" w:hAnsi="Arial" w:cs="Arial"/>
          <w:b/>
        </w:rPr>
      </w:pPr>
    </w:p>
    <w:p w:rsidR="00AF5D9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A 420916 Administracija i upravljanje</w:t>
      </w:r>
    </w:p>
    <w:p w:rsidR="00AF5D9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  <w:bCs/>
        </w:rPr>
        <w:t>Ukupan iznos sredstava po ovoj aktivnosti za 202</w:t>
      </w:r>
      <w:r w:rsidR="00A4710F">
        <w:rPr>
          <w:rFonts w:ascii="Arial" w:hAnsi="Arial" w:cs="Arial"/>
          <w:bCs/>
        </w:rPr>
        <w:t>6</w:t>
      </w:r>
      <w:r w:rsidRPr="00952AAC">
        <w:rPr>
          <w:rFonts w:ascii="Arial" w:hAnsi="Arial" w:cs="Arial"/>
          <w:bCs/>
        </w:rPr>
        <w:t>. godinu planiran je u iznosu od 1</w:t>
      </w:r>
      <w:r w:rsidR="00A4710F">
        <w:rPr>
          <w:rFonts w:ascii="Arial" w:hAnsi="Arial" w:cs="Arial"/>
          <w:bCs/>
        </w:rPr>
        <w:t>7.753.612,00</w:t>
      </w:r>
      <w:r w:rsidRPr="00952AAC">
        <w:rPr>
          <w:rFonts w:ascii="Arial" w:hAnsi="Arial" w:cs="Arial"/>
          <w:bCs/>
        </w:rPr>
        <w:t xml:space="preserve"> eura, 1</w:t>
      </w:r>
      <w:r w:rsidR="00A4710F">
        <w:rPr>
          <w:rFonts w:ascii="Arial" w:hAnsi="Arial" w:cs="Arial"/>
          <w:bCs/>
        </w:rPr>
        <w:t>8.887.559,00</w:t>
      </w:r>
      <w:r w:rsidRPr="00952AAC">
        <w:rPr>
          <w:rFonts w:ascii="Arial" w:hAnsi="Arial" w:cs="Arial"/>
          <w:bCs/>
        </w:rPr>
        <w:t xml:space="preserve"> za 202</w:t>
      </w:r>
      <w:r w:rsidR="00A4710F">
        <w:rPr>
          <w:rFonts w:ascii="Arial" w:hAnsi="Arial" w:cs="Arial"/>
          <w:bCs/>
        </w:rPr>
        <w:t>7</w:t>
      </w:r>
      <w:r w:rsidRPr="00952AAC">
        <w:rPr>
          <w:rFonts w:ascii="Arial" w:hAnsi="Arial" w:cs="Arial"/>
          <w:bCs/>
        </w:rPr>
        <w:t>. godinu te 1</w:t>
      </w:r>
      <w:r w:rsidR="00A4710F">
        <w:rPr>
          <w:rFonts w:ascii="Arial" w:hAnsi="Arial" w:cs="Arial"/>
          <w:bCs/>
        </w:rPr>
        <w:t>9.842.492,00</w:t>
      </w:r>
      <w:r w:rsidRPr="00952AAC">
        <w:rPr>
          <w:rFonts w:ascii="Arial" w:hAnsi="Arial" w:cs="Arial"/>
          <w:bCs/>
        </w:rPr>
        <w:t xml:space="preserve"> za 202</w:t>
      </w:r>
      <w:r w:rsidR="00A4710F">
        <w:rPr>
          <w:rFonts w:ascii="Arial" w:hAnsi="Arial" w:cs="Arial"/>
          <w:bCs/>
        </w:rPr>
        <w:t>8</w:t>
      </w:r>
      <w:r w:rsidRPr="00952AAC">
        <w:rPr>
          <w:rFonts w:ascii="Arial" w:hAnsi="Arial" w:cs="Arial"/>
          <w:bCs/>
        </w:rPr>
        <w:t>. godinu. Najveći dio, 8</w:t>
      </w:r>
      <w:r w:rsidR="00A4710F">
        <w:rPr>
          <w:rFonts w:ascii="Arial" w:hAnsi="Arial" w:cs="Arial"/>
          <w:bCs/>
        </w:rPr>
        <w:t>5,63</w:t>
      </w:r>
      <w:r w:rsidRPr="00952AAC">
        <w:rPr>
          <w:rFonts w:ascii="Arial" w:hAnsi="Arial" w:cs="Arial"/>
          <w:bCs/>
        </w:rPr>
        <w:t xml:space="preserve">% iznosa čine sredstva iz izvora namjenskih prihoda -HZZO </w:t>
      </w:r>
      <w:r w:rsidRPr="00952AAC">
        <w:rPr>
          <w:rFonts w:ascii="Arial" w:hAnsi="Arial" w:cs="Arial"/>
        </w:rPr>
        <w:t>na temelju ugovornih obveza te sufinanciranja cijena usluga, participacije i sl. Vrijednosti su planirane prema dosadašnjim saznanjima no sve ovisi o Ugovoru s HZZO-om koji se utvrđuje za svaku pojedinu godinu, a veoma često i Dodatkom Ugovora tijekom godine. Za 202</w:t>
      </w:r>
      <w:r w:rsidR="00A4710F">
        <w:rPr>
          <w:rFonts w:ascii="Arial" w:hAnsi="Arial" w:cs="Arial"/>
        </w:rPr>
        <w:t>6</w:t>
      </w:r>
      <w:r w:rsidRPr="00952AAC">
        <w:rPr>
          <w:rFonts w:ascii="Arial" w:hAnsi="Arial" w:cs="Arial"/>
        </w:rPr>
        <w:t>.godinu pa tako i za ostale godine planske veličine, kapaciteti i cijene usluga ut</w:t>
      </w:r>
      <w:r>
        <w:rPr>
          <w:rFonts w:ascii="Arial" w:hAnsi="Arial" w:cs="Arial"/>
        </w:rPr>
        <w:t xml:space="preserve">vrditi će se najranije koncem </w:t>
      </w:r>
      <w:r w:rsidRPr="00952AAC">
        <w:rPr>
          <w:rFonts w:ascii="Arial" w:hAnsi="Arial" w:cs="Arial"/>
        </w:rPr>
        <w:t xml:space="preserve"> 202</w:t>
      </w:r>
      <w:r w:rsidR="00A4710F">
        <w:rPr>
          <w:rFonts w:ascii="Arial" w:hAnsi="Arial" w:cs="Arial"/>
        </w:rPr>
        <w:t>5</w:t>
      </w:r>
      <w:r w:rsidRPr="00952AAC">
        <w:rPr>
          <w:rFonts w:ascii="Arial" w:hAnsi="Arial" w:cs="Arial"/>
        </w:rPr>
        <w:t>. godine temeljem provedenog natječaja od strane HZZO-a za ugovaranje zdravstvene usluge u narednoj godini.  Na izvoru financiranja 321 Vlastiti prihodi planirana su sredstva u iznosu od 2.</w:t>
      </w:r>
      <w:r w:rsidR="00A4710F">
        <w:rPr>
          <w:rFonts w:ascii="Arial" w:hAnsi="Arial" w:cs="Arial"/>
        </w:rPr>
        <w:t>347.412,00</w:t>
      </w:r>
      <w:r w:rsidRPr="00952AAC">
        <w:rPr>
          <w:rFonts w:ascii="Arial" w:hAnsi="Arial" w:cs="Arial"/>
        </w:rPr>
        <w:t xml:space="preserve"> eura  temeljem pružanja medicinskih usluga privatnim korisnicima kao i sistematskim pregledima ugovornih partnera.</w:t>
      </w:r>
    </w:p>
    <w:p w:rsidR="003A61BA" w:rsidRPr="00952AAC" w:rsidRDefault="003A61BA" w:rsidP="00AF5D9C">
      <w:pPr>
        <w:spacing w:after="0" w:line="240" w:lineRule="auto"/>
        <w:jc w:val="both"/>
        <w:rPr>
          <w:rFonts w:ascii="Arial" w:hAnsi="Arial" w:cs="Arial"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A 420917 Specijalizacije doktora medicine</w:t>
      </w:r>
    </w:p>
    <w:p w:rsidR="00AF5D9C" w:rsidRDefault="00AF5D9C" w:rsidP="00AF5D9C">
      <w:pPr>
        <w:spacing w:after="0" w:line="240" w:lineRule="auto"/>
        <w:jc w:val="both"/>
        <w:rPr>
          <w:rFonts w:ascii="Arial" w:hAnsi="Arial" w:cs="Arial"/>
          <w:bCs/>
        </w:rPr>
      </w:pPr>
      <w:r w:rsidRPr="00952AAC">
        <w:rPr>
          <w:rFonts w:ascii="Arial" w:hAnsi="Arial" w:cs="Arial"/>
          <w:bCs/>
        </w:rPr>
        <w:t xml:space="preserve">Planirana su sredstva u iznosu od </w:t>
      </w:r>
      <w:r w:rsidR="00A4710F">
        <w:rPr>
          <w:rFonts w:ascii="Arial" w:hAnsi="Arial" w:cs="Arial"/>
          <w:bCs/>
        </w:rPr>
        <w:t>400</w:t>
      </w:r>
      <w:r w:rsidRPr="00952AAC">
        <w:rPr>
          <w:rFonts w:ascii="Arial" w:hAnsi="Arial" w:cs="Arial"/>
          <w:bCs/>
        </w:rPr>
        <w:t>.000,00 eura za 202</w:t>
      </w:r>
      <w:r w:rsidR="00A4710F">
        <w:rPr>
          <w:rFonts w:ascii="Arial" w:hAnsi="Arial" w:cs="Arial"/>
          <w:bCs/>
        </w:rPr>
        <w:t>6</w:t>
      </w:r>
      <w:r w:rsidRPr="00952AAC">
        <w:rPr>
          <w:rFonts w:ascii="Arial" w:hAnsi="Arial" w:cs="Arial"/>
          <w:bCs/>
        </w:rPr>
        <w:t xml:space="preserve">. godinu, </w:t>
      </w:r>
      <w:r w:rsidR="00A4710F">
        <w:rPr>
          <w:rFonts w:ascii="Arial" w:hAnsi="Arial" w:cs="Arial"/>
          <w:bCs/>
        </w:rPr>
        <w:t>422</w:t>
      </w:r>
      <w:r w:rsidRPr="00952AAC">
        <w:rPr>
          <w:rFonts w:ascii="Arial" w:hAnsi="Arial" w:cs="Arial"/>
          <w:bCs/>
        </w:rPr>
        <w:t>.000,00 eura za 202</w:t>
      </w:r>
      <w:r w:rsidR="00A4710F">
        <w:rPr>
          <w:rFonts w:ascii="Arial" w:hAnsi="Arial" w:cs="Arial"/>
          <w:bCs/>
        </w:rPr>
        <w:t>7</w:t>
      </w:r>
      <w:r w:rsidRPr="00952AAC">
        <w:rPr>
          <w:rFonts w:ascii="Arial" w:hAnsi="Arial" w:cs="Arial"/>
          <w:bCs/>
        </w:rPr>
        <w:t xml:space="preserve">. godinu i </w:t>
      </w:r>
      <w:r w:rsidR="00A4710F">
        <w:rPr>
          <w:rFonts w:ascii="Arial" w:hAnsi="Arial" w:cs="Arial"/>
          <w:bCs/>
        </w:rPr>
        <w:t>443.000</w:t>
      </w:r>
      <w:r w:rsidRPr="00952AAC">
        <w:rPr>
          <w:rFonts w:ascii="Arial" w:hAnsi="Arial" w:cs="Arial"/>
          <w:bCs/>
        </w:rPr>
        <w:t>,00 eura za 202</w:t>
      </w:r>
      <w:r w:rsidR="00A4710F">
        <w:rPr>
          <w:rFonts w:ascii="Arial" w:hAnsi="Arial" w:cs="Arial"/>
          <w:bCs/>
        </w:rPr>
        <w:t>8</w:t>
      </w:r>
      <w:r w:rsidRPr="00952AAC">
        <w:rPr>
          <w:rFonts w:ascii="Arial" w:hAnsi="Arial" w:cs="Arial"/>
          <w:bCs/>
        </w:rPr>
        <w:t xml:space="preserve">. godinu. Ova aktivnost bilježi zadovoljavajuće rezultate, tijekom </w:t>
      </w:r>
      <w:r w:rsidRPr="00CA4E11">
        <w:rPr>
          <w:rFonts w:ascii="Arial" w:hAnsi="Arial" w:cs="Arial"/>
          <w:bCs/>
        </w:rPr>
        <w:t>202</w:t>
      </w:r>
      <w:r w:rsidR="00A4710F" w:rsidRPr="00CA4E11">
        <w:rPr>
          <w:rFonts w:ascii="Arial" w:hAnsi="Arial" w:cs="Arial"/>
          <w:bCs/>
        </w:rPr>
        <w:t>5</w:t>
      </w:r>
      <w:r w:rsidRPr="00CA4E11">
        <w:rPr>
          <w:rFonts w:ascii="Arial" w:hAnsi="Arial" w:cs="Arial"/>
          <w:bCs/>
        </w:rPr>
        <w:t>.</w:t>
      </w:r>
      <w:r w:rsidRPr="00952AAC">
        <w:rPr>
          <w:rFonts w:ascii="Arial" w:hAnsi="Arial" w:cs="Arial"/>
          <w:bCs/>
        </w:rPr>
        <w:t xml:space="preserve"> godine dva su specijalizanta do</w:t>
      </w:r>
      <w:r>
        <w:rPr>
          <w:rFonts w:ascii="Arial" w:hAnsi="Arial" w:cs="Arial"/>
          <w:bCs/>
        </w:rPr>
        <w:t xml:space="preserve">vršila specijalizaciju, a </w:t>
      </w:r>
      <w:r w:rsidR="009661B5">
        <w:rPr>
          <w:rFonts w:ascii="Arial" w:hAnsi="Arial" w:cs="Arial"/>
          <w:bCs/>
        </w:rPr>
        <w:t xml:space="preserve">1 je </w:t>
      </w:r>
      <w:r>
        <w:rPr>
          <w:rFonts w:ascii="Arial" w:hAnsi="Arial" w:cs="Arial"/>
          <w:bCs/>
        </w:rPr>
        <w:t>nov</w:t>
      </w:r>
      <w:r w:rsidR="009661B5">
        <w:rPr>
          <w:rFonts w:ascii="Arial" w:hAnsi="Arial" w:cs="Arial"/>
          <w:bCs/>
        </w:rPr>
        <w:t>i</w:t>
      </w:r>
      <w:r w:rsidRPr="00952AAC">
        <w:rPr>
          <w:rFonts w:ascii="Arial" w:hAnsi="Arial" w:cs="Arial"/>
          <w:bCs/>
        </w:rPr>
        <w:t xml:space="preserve"> doktor započelo specijalizaciju, kako je bilo planirano. Ova se aktivnost u potpunosti financira iz izvora Prihodi za posebne namjene. U 202</w:t>
      </w:r>
      <w:r w:rsidR="009661B5">
        <w:rPr>
          <w:rFonts w:ascii="Arial" w:hAnsi="Arial" w:cs="Arial"/>
          <w:bCs/>
        </w:rPr>
        <w:t>6</w:t>
      </w:r>
      <w:r w:rsidRPr="00952AAC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godini </w:t>
      </w:r>
      <w:r w:rsidRPr="00952AAC">
        <w:rPr>
          <w:rFonts w:ascii="Arial" w:hAnsi="Arial" w:cs="Arial"/>
          <w:bCs/>
        </w:rPr>
        <w:t xml:space="preserve">u provedbi će biti </w:t>
      </w:r>
      <w:r w:rsidR="009661B5">
        <w:rPr>
          <w:rFonts w:ascii="Arial" w:hAnsi="Arial" w:cs="Arial"/>
          <w:bCs/>
        </w:rPr>
        <w:t>7</w:t>
      </w:r>
      <w:r w:rsidRPr="00952AAC">
        <w:rPr>
          <w:rFonts w:ascii="Arial" w:hAnsi="Arial" w:cs="Arial"/>
          <w:bCs/>
        </w:rPr>
        <w:t xml:space="preserve"> specijalizacija; 2 iz kardiologije, 3 iz reumatologije, 1 iz endokrinologije i dijabetologije, </w:t>
      </w:r>
      <w:r>
        <w:rPr>
          <w:rFonts w:ascii="Arial" w:hAnsi="Arial" w:cs="Arial"/>
          <w:bCs/>
        </w:rPr>
        <w:t>1 iz radi</w:t>
      </w:r>
      <w:r w:rsidRPr="00952AAC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lo</w:t>
      </w:r>
      <w:r w:rsidRPr="00952AAC">
        <w:rPr>
          <w:rFonts w:ascii="Arial" w:hAnsi="Arial" w:cs="Arial"/>
          <w:bCs/>
        </w:rPr>
        <w:t>gije.</w:t>
      </w:r>
    </w:p>
    <w:p w:rsidR="003A61BA" w:rsidRPr="00952AAC" w:rsidRDefault="003A61BA" w:rsidP="00AF5D9C">
      <w:pPr>
        <w:spacing w:after="0" w:line="240" w:lineRule="auto"/>
        <w:jc w:val="both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</w:p>
    <w:p w:rsidR="00C17502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  <w:b/>
        </w:rPr>
        <w:lastRenderedPageBreak/>
        <w:t>RAZLOG ODSTUPANJA OD PROŠLOGODINJIH PROJEKCIJA:</w:t>
      </w:r>
      <w:r w:rsidRPr="00952AAC">
        <w:rPr>
          <w:rFonts w:ascii="Arial" w:hAnsi="Arial" w:cs="Arial"/>
        </w:rPr>
        <w:t xml:space="preserve"> </w:t>
      </w:r>
    </w:p>
    <w:p w:rsidR="00C17502" w:rsidRDefault="00C17502" w:rsidP="00C17502">
      <w:pPr>
        <w:spacing w:after="0" w:line="240" w:lineRule="auto"/>
        <w:jc w:val="both"/>
        <w:rPr>
          <w:rFonts w:ascii="Arial" w:hAnsi="Arial" w:cs="Arial"/>
        </w:rPr>
      </w:pPr>
      <w:r w:rsidRPr="00C17502">
        <w:rPr>
          <w:rFonts w:ascii="Arial" w:hAnsi="Arial" w:cs="Arial"/>
        </w:rPr>
        <w:t xml:space="preserve">Plan za 2026. i projekcija za 2027. godinu prvenstveno se razlikuju od projekcija iz prethodne godine zbog povećanja rashoda za zaposlene povezano sa zakonski određenim povećanjima osnovica plaća kao i zbog povećanja broja zaposlenika, te zbog općenitog </w:t>
      </w:r>
      <w:r w:rsidRPr="00952AAC">
        <w:rPr>
          <w:rFonts w:ascii="Arial" w:hAnsi="Arial" w:cs="Arial"/>
        </w:rPr>
        <w:t>povećane vrijednosti rashoda redovnog poslovanja ustanova uslijed rasta c</w:t>
      </w:r>
      <w:r>
        <w:rPr>
          <w:rFonts w:ascii="Arial" w:hAnsi="Arial" w:cs="Arial"/>
        </w:rPr>
        <w:t>ijena proizvoda i usluga.</w:t>
      </w:r>
    </w:p>
    <w:p w:rsidR="00C17502" w:rsidRPr="00952AAC" w:rsidRDefault="00C17502" w:rsidP="00C17502">
      <w:pPr>
        <w:spacing w:after="0" w:line="240" w:lineRule="auto"/>
        <w:jc w:val="both"/>
        <w:rPr>
          <w:rFonts w:ascii="Arial" w:hAnsi="Arial" w:cs="Arial"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 xml:space="preserve"> POKAZATELJI USPJEŠNOSTI: 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2126"/>
        <w:gridCol w:w="1076"/>
        <w:gridCol w:w="1276"/>
        <w:gridCol w:w="1276"/>
        <w:gridCol w:w="1276"/>
        <w:gridCol w:w="1276"/>
      </w:tblGrid>
      <w:tr w:rsidR="00AF5D9C" w:rsidRPr="00952AAC" w:rsidTr="00C20844">
        <w:trPr>
          <w:trHeight w:val="634"/>
        </w:trPr>
        <w:tc>
          <w:tcPr>
            <w:tcW w:w="1555" w:type="dxa"/>
            <w:shd w:val="clear" w:color="auto" w:fill="auto"/>
            <w:vAlign w:val="center"/>
          </w:tcPr>
          <w:p w:rsidR="00AF5D9C" w:rsidRPr="00952AAC" w:rsidRDefault="00AF5D9C" w:rsidP="00C2084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AAC">
              <w:rPr>
                <w:rFonts w:ascii="Arial" w:hAnsi="Arial" w:cs="Arial"/>
                <w:b/>
                <w:sz w:val="20"/>
                <w:szCs w:val="20"/>
              </w:rPr>
              <w:t>Pokazatelj uspješnosti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5D9C" w:rsidRPr="00952AAC" w:rsidRDefault="00AF5D9C" w:rsidP="00C2084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AAC">
              <w:rPr>
                <w:rFonts w:ascii="Arial" w:hAnsi="Arial" w:cs="Arial"/>
                <w:b/>
                <w:sz w:val="20"/>
                <w:szCs w:val="20"/>
              </w:rPr>
              <w:t>Definicija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AF5D9C" w:rsidRPr="00952AAC" w:rsidRDefault="00AF5D9C" w:rsidP="00C2084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AAC">
              <w:rPr>
                <w:rFonts w:ascii="Arial" w:hAnsi="Arial" w:cs="Arial"/>
                <w:b/>
                <w:sz w:val="20"/>
                <w:szCs w:val="20"/>
              </w:rPr>
              <w:t>Jedinica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9C" w:rsidRPr="00952AAC" w:rsidRDefault="00AF5D9C" w:rsidP="00C2084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AAC">
              <w:rPr>
                <w:rFonts w:ascii="Arial" w:hAnsi="Arial" w:cs="Arial"/>
                <w:b/>
                <w:sz w:val="20"/>
                <w:szCs w:val="20"/>
              </w:rPr>
              <w:t>Polazna vrijednost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9C" w:rsidRPr="00952AAC" w:rsidRDefault="00AF5D9C" w:rsidP="00C175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AAC">
              <w:rPr>
                <w:rFonts w:ascii="Arial" w:hAnsi="Arial" w:cs="Arial"/>
                <w:b/>
                <w:sz w:val="20"/>
                <w:szCs w:val="20"/>
              </w:rPr>
              <w:t>Ciljana vrijednost 202</w:t>
            </w:r>
            <w:r w:rsidR="00C1750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52A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F5D9C" w:rsidRPr="00952AAC" w:rsidRDefault="00AF5D9C" w:rsidP="00C17502">
            <w:pPr>
              <w:spacing w:after="0"/>
              <w:jc w:val="center"/>
              <w:rPr>
                <w:sz w:val="20"/>
                <w:szCs w:val="20"/>
              </w:rPr>
            </w:pPr>
            <w:r w:rsidRPr="00952AAC">
              <w:rPr>
                <w:rFonts w:ascii="Arial" w:hAnsi="Arial" w:cs="Arial"/>
                <w:b/>
                <w:sz w:val="20"/>
                <w:szCs w:val="20"/>
              </w:rPr>
              <w:t>Ciljana vrijednost 202</w:t>
            </w:r>
            <w:r w:rsidR="00C1750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952A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F5D9C" w:rsidRPr="00952AAC" w:rsidRDefault="00AF5D9C" w:rsidP="00C17502">
            <w:pPr>
              <w:spacing w:after="0"/>
              <w:jc w:val="center"/>
              <w:rPr>
                <w:sz w:val="20"/>
                <w:szCs w:val="20"/>
              </w:rPr>
            </w:pPr>
            <w:r w:rsidRPr="00952AAC">
              <w:rPr>
                <w:rFonts w:ascii="Arial" w:hAnsi="Arial" w:cs="Arial"/>
                <w:b/>
                <w:sz w:val="20"/>
                <w:szCs w:val="20"/>
              </w:rPr>
              <w:t>Ciljana vrijednost 202</w:t>
            </w:r>
            <w:r w:rsidR="00C17502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952A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F5D9C" w:rsidRPr="00952AAC" w:rsidTr="00C20844">
        <w:trPr>
          <w:trHeight w:val="207"/>
        </w:trPr>
        <w:tc>
          <w:tcPr>
            <w:tcW w:w="1555" w:type="dxa"/>
            <w:shd w:val="clear" w:color="auto" w:fill="auto"/>
          </w:tcPr>
          <w:p w:rsidR="00AF5D9C" w:rsidRPr="00952AAC" w:rsidRDefault="00AF5D9C" w:rsidP="00C208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AAC">
              <w:rPr>
                <w:rFonts w:ascii="Arial" w:hAnsi="Arial" w:cs="Arial"/>
                <w:sz w:val="20"/>
                <w:szCs w:val="20"/>
              </w:rPr>
              <w:t>Ostvarenje limita prema ugovoru s HZZO-im</w:t>
            </w:r>
          </w:p>
        </w:tc>
        <w:tc>
          <w:tcPr>
            <w:tcW w:w="2126" w:type="dxa"/>
            <w:shd w:val="clear" w:color="auto" w:fill="auto"/>
          </w:tcPr>
          <w:p w:rsidR="00AF5D9C" w:rsidRPr="00952AAC" w:rsidRDefault="00AF5D9C" w:rsidP="00C208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AAC">
              <w:rPr>
                <w:rFonts w:ascii="Arial" w:hAnsi="Arial" w:cs="Arial"/>
                <w:sz w:val="20"/>
                <w:szCs w:val="20"/>
              </w:rPr>
              <w:t>Ostvarenje ugovorenog limita (sa dop. zdr. osig) u cijelosti i sukladno utvrđenoj dinamici</w:t>
            </w:r>
          </w:p>
        </w:tc>
        <w:tc>
          <w:tcPr>
            <w:tcW w:w="1076" w:type="dxa"/>
            <w:shd w:val="clear" w:color="auto" w:fill="auto"/>
          </w:tcPr>
          <w:p w:rsidR="00AF5D9C" w:rsidRPr="00952AAC" w:rsidRDefault="00AF5D9C" w:rsidP="00C2084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AAC">
              <w:rPr>
                <w:rFonts w:ascii="Arial" w:hAnsi="Arial" w:cs="Arial"/>
                <w:sz w:val="20"/>
                <w:szCs w:val="20"/>
              </w:rPr>
              <w:t>God. limit</w:t>
            </w:r>
          </w:p>
        </w:tc>
        <w:tc>
          <w:tcPr>
            <w:tcW w:w="1276" w:type="dxa"/>
            <w:shd w:val="clear" w:color="auto" w:fill="auto"/>
          </w:tcPr>
          <w:p w:rsidR="00AF5D9C" w:rsidRPr="00952AAC" w:rsidRDefault="00C17502" w:rsidP="00C175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</w:t>
            </w:r>
            <w:r w:rsidR="00AF5D9C" w:rsidRPr="00952AAC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  <w:tc>
          <w:tcPr>
            <w:tcW w:w="1276" w:type="dxa"/>
            <w:shd w:val="clear" w:color="auto" w:fill="auto"/>
          </w:tcPr>
          <w:p w:rsidR="00AF5D9C" w:rsidRPr="00952AAC" w:rsidRDefault="00AF5D9C" w:rsidP="00C175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AAC">
              <w:rPr>
                <w:rFonts w:ascii="Arial" w:hAnsi="Arial" w:cs="Arial"/>
                <w:sz w:val="20"/>
                <w:szCs w:val="20"/>
              </w:rPr>
              <w:t>1</w:t>
            </w:r>
            <w:r w:rsidR="00C17502">
              <w:rPr>
                <w:rFonts w:ascii="Arial" w:hAnsi="Arial" w:cs="Arial"/>
                <w:sz w:val="20"/>
                <w:szCs w:val="20"/>
              </w:rPr>
              <w:t>6</w:t>
            </w:r>
            <w:r w:rsidRPr="00952AAC">
              <w:rPr>
                <w:rFonts w:ascii="Arial" w:hAnsi="Arial" w:cs="Arial"/>
                <w:sz w:val="20"/>
                <w:szCs w:val="20"/>
              </w:rPr>
              <w:t>.</w:t>
            </w:r>
            <w:r w:rsidR="00C17502">
              <w:rPr>
                <w:rFonts w:ascii="Arial" w:hAnsi="Arial" w:cs="Arial"/>
                <w:sz w:val="20"/>
                <w:szCs w:val="20"/>
              </w:rPr>
              <w:t>537</w:t>
            </w:r>
            <w:r w:rsidRPr="00952AAC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276" w:type="dxa"/>
            <w:shd w:val="clear" w:color="auto" w:fill="auto"/>
          </w:tcPr>
          <w:p w:rsidR="00AF5D9C" w:rsidRPr="00952AAC" w:rsidRDefault="00AF5D9C" w:rsidP="00C175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AAC">
              <w:rPr>
                <w:rFonts w:ascii="Arial" w:hAnsi="Arial" w:cs="Arial"/>
                <w:sz w:val="20"/>
                <w:szCs w:val="20"/>
              </w:rPr>
              <w:t>1</w:t>
            </w:r>
            <w:r w:rsidR="00C17502">
              <w:rPr>
                <w:rFonts w:ascii="Arial" w:hAnsi="Arial" w:cs="Arial"/>
                <w:sz w:val="20"/>
                <w:szCs w:val="20"/>
              </w:rPr>
              <w:t>7</w:t>
            </w:r>
            <w:r w:rsidRPr="00952AAC">
              <w:rPr>
                <w:rFonts w:ascii="Arial" w:hAnsi="Arial" w:cs="Arial"/>
                <w:sz w:val="20"/>
                <w:szCs w:val="20"/>
              </w:rPr>
              <w:t>.</w:t>
            </w:r>
            <w:r w:rsidR="00C17502">
              <w:rPr>
                <w:rFonts w:ascii="Arial" w:hAnsi="Arial" w:cs="Arial"/>
                <w:sz w:val="20"/>
                <w:szCs w:val="20"/>
              </w:rPr>
              <w:t>363</w:t>
            </w:r>
            <w:r w:rsidRPr="00952AAC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276" w:type="dxa"/>
            <w:shd w:val="clear" w:color="auto" w:fill="auto"/>
          </w:tcPr>
          <w:p w:rsidR="00AF5D9C" w:rsidRPr="00952AAC" w:rsidRDefault="00AF5D9C" w:rsidP="00C175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AAC">
              <w:rPr>
                <w:rFonts w:ascii="Arial" w:hAnsi="Arial" w:cs="Arial"/>
                <w:sz w:val="20"/>
                <w:szCs w:val="20"/>
              </w:rPr>
              <w:t>1</w:t>
            </w:r>
            <w:r w:rsidR="00C17502">
              <w:rPr>
                <w:rFonts w:ascii="Arial" w:hAnsi="Arial" w:cs="Arial"/>
                <w:sz w:val="20"/>
                <w:szCs w:val="20"/>
              </w:rPr>
              <w:t>8</w:t>
            </w:r>
            <w:r w:rsidRPr="00952AAC">
              <w:rPr>
                <w:rFonts w:ascii="Arial" w:hAnsi="Arial" w:cs="Arial"/>
                <w:sz w:val="20"/>
                <w:szCs w:val="20"/>
              </w:rPr>
              <w:t>.</w:t>
            </w:r>
            <w:r w:rsidR="00C17502">
              <w:rPr>
                <w:rFonts w:ascii="Arial" w:hAnsi="Arial" w:cs="Arial"/>
                <w:sz w:val="20"/>
                <w:szCs w:val="20"/>
              </w:rPr>
              <w:t>22</w:t>
            </w:r>
            <w:r w:rsidRPr="00952AAC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AF5D9C" w:rsidRPr="00952AAC" w:rsidTr="00C20844">
        <w:trPr>
          <w:trHeight w:val="207"/>
        </w:trPr>
        <w:tc>
          <w:tcPr>
            <w:tcW w:w="1555" w:type="dxa"/>
            <w:shd w:val="clear" w:color="auto" w:fill="auto"/>
          </w:tcPr>
          <w:p w:rsidR="00AF5D9C" w:rsidRPr="00952AAC" w:rsidRDefault="00AF5D9C" w:rsidP="00C208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AAC">
              <w:rPr>
                <w:rFonts w:ascii="Arial" w:hAnsi="Arial" w:cs="Arial"/>
                <w:sz w:val="20"/>
                <w:szCs w:val="20"/>
              </w:rPr>
              <w:t>Broj specijalizanata  doktora medicine</w:t>
            </w:r>
          </w:p>
        </w:tc>
        <w:tc>
          <w:tcPr>
            <w:tcW w:w="2126" w:type="dxa"/>
            <w:shd w:val="clear" w:color="auto" w:fill="auto"/>
          </w:tcPr>
          <w:p w:rsidR="00AF5D9C" w:rsidRPr="00952AAC" w:rsidRDefault="00AF5D9C" w:rsidP="00C208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AAC">
              <w:rPr>
                <w:rFonts w:ascii="Arial" w:hAnsi="Arial" w:cs="Arial"/>
                <w:sz w:val="20"/>
                <w:szCs w:val="20"/>
              </w:rPr>
              <w:t>Postojeće potrebe za upućivanjem liječnika na specijalizaciju i odobrenja nadležnog ministarstva</w:t>
            </w:r>
          </w:p>
        </w:tc>
        <w:tc>
          <w:tcPr>
            <w:tcW w:w="1076" w:type="dxa"/>
            <w:shd w:val="clear" w:color="auto" w:fill="auto"/>
          </w:tcPr>
          <w:p w:rsidR="00AF5D9C" w:rsidRPr="00952AAC" w:rsidRDefault="00AF5D9C" w:rsidP="00C2084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AAC">
              <w:rPr>
                <w:rFonts w:ascii="Arial" w:hAnsi="Arial" w:cs="Arial"/>
                <w:sz w:val="20"/>
                <w:szCs w:val="20"/>
              </w:rPr>
              <w:t>Br. specijalizacija</w:t>
            </w:r>
          </w:p>
        </w:tc>
        <w:tc>
          <w:tcPr>
            <w:tcW w:w="1276" w:type="dxa"/>
            <w:shd w:val="clear" w:color="auto" w:fill="auto"/>
          </w:tcPr>
          <w:p w:rsidR="00AF5D9C" w:rsidRPr="00952AAC" w:rsidRDefault="00C17502" w:rsidP="00C175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F5D9C" w:rsidRPr="00952AAC" w:rsidRDefault="00C17502" w:rsidP="00C175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F5D9C" w:rsidRPr="00952AAC" w:rsidRDefault="00C17502" w:rsidP="00C175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F5D9C" w:rsidRPr="00952AAC" w:rsidRDefault="00C17502" w:rsidP="00C175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AF5D9C" w:rsidRDefault="00AF5D9C" w:rsidP="00AF5D9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2D54AF" w:rsidRDefault="002D54AF" w:rsidP="00AF5D9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D54AF" w:rsidRDefault="002D54AF" w:rsidP="00AF5D9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5D9C" w:rsidRPr="002D54AF" w:rsidRDefault="00AF5D9C" w:rsidP="00AF5D9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D54AF">
        <w:rPr>
          <w:rFonts w:ascii="Arial" w:hAnsi="Arial" w:cs="Arial"/>
          <w:b/>
          <w:sz w:val="28"/>
          <w:szCs w:val="28"/>
        </w:rPr>
        <w:t>NAZIV PROGRAMA: 4210 UNAPRJEĐENJE ZDRAVSTVENE ZAŠTITE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 xml:space="preserve">SVRHA PROGRAMA: </w:t>
      </w:r>
      <w:r w:rsidRPr="00952AAC">
        <w:rPr>
          <w:rFonts w:ascii="Arial" w:hAnsi="Arial" w:cs="Arial"/>
          <w:bCs/>
        </w:rPr>
        <w:t>Dostizanje propisanih minimalnih uvjeta u pogledu prostora, vozila i medicinsko-tehničke opreme za obavljanje zdravstvene djelatnosti kojima moraju udovoljavati zdravstvene ustanove sukladno Pravilniku o minimalnim uvjetima u pogledu prostora, radnika i medicinsko-tehničke opreme za obavljanje zdravstvene djelatnosti te povećanje kvalitete zdravstvene infrastrukture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Cs/>
        </w:rPr>
      </w:pPr>
      <w:r w:rsidRPr="00952AAC">
        <w:rPr>
          <w:rFonts w:ascii="Arial" w:hAnsi="Arial" w:cs="Arial"/>
          <w:b/>
        </w:rPr>
        <w:t>POVEZANOST PROGRAMA SA STRATEŠKIM DOKUMENTIMA: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</w:rPr>
        <w:t>Plan razvoja Primorsko-goranske županije za razdoblje 2022. – 2027. godine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ind w:firstLine="708"/>
        <w:rPr>
          <w:rFonts w:ascii="Arial" w:hAnsi="Arial" w:cs="Arial"/>
        </w:rPr>
      </w:pPr>
      <w:r w:rsidRPr="00952AAC">
        <w:rPr>
          <w:rFonts w:ascii="Arial" w:hAnsi="Arial" w:cs="Arial"/>
          <w:b/>
        </w:rPr>
        <w:t>POSEBNI CILJ:</w:t>
      </w:r>
      <w:r w:rsidRPr="00952AAC">
        <w:rPr>
          <w:rFonts w:ascii="Arial" w:hAnsi="Arial" w:cs="Arial"/>
        </w:rPr>
        <w:t xml:space="preserve"> 5.1. Regija zdravlja i kvaliteta života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ind w:firstLine="708"/>
        <w:rPr>
          <w:rFonts w:ascii="Arial" w:hAnsi="Arial" w:cs="Arial"/>
        </w:rPr>
      </w:pPr>
      <w:r w:rsidRPr="00952AAC">
        <w:rPr>
          <w:rFonts w:ascii="Arial" w:hAnsi="Arial" w:cs="Arial"/>
          <w:b/>
        </w:rPr>
        <w:t xml:space="preserve">MJERA: </w:t>
      </w:r>
      <w:r w:rsidRPr="00952AAC">
        <w:rPr>
          <w:rFonts w:ascii="Arial" w:hAnsi="Arial" w:cs="Arial"/>
        </w:rPr>
        <w:t>5.1.1. Promicanje zdravog načina života i cjeloživotne tjelesne aktivnosti</w:t>
      </w:r>
    </w:p>
    <w:p w:rsidR="00AF5D9C" w:rsidRPr="00952AAC" w:rsidRDefault="00AF5D9C" w:rsidP="00AF5D9C">
      <w:pPr>
        <w:spacing w:after="0" w:line="240" w:lineRule="auto"/>
        <w:ind w:firstLine="708"/>
        <w:rPr>
          <w:rFonts w:ascii="Arial" w:hAnsi="Arial" w:cs="Arial"/>
          <w:b/>
        </w:rPr>
      </w:pPr>
      <w:r w:rsidRPr="00952AAC">
        <w:rPr>
          <w:rFonts w:ascii="Arial" w:hAnsi="Arial" w:cs="Arial"/>
        </w:rPr>
        <w:t xml:space="preserve">               5.1.2. </w:t>
      </w:r>
      <w:r w:rsidRPr="00952AAC">
        <w:rPr>
          <w:rFonts w:ascii="Arial" w:hAnsi="Arial" w:cs="Arial"/>
          <w:bCs/>
        </w:rPr>
        <w:t>Modernizacija, izgradnja i opremanje zdravstvene infrastrukture i podrška</w:t>
      </w:r>
      <w:r w:rsidR="00BE59E3">
        <w:rPr>
          <w:rFonts w:ascii="Arial" w:hAnsi="Arial" w:cs="Arial"/>
          <w:bCs/>
        </w:rPr>
        <w:t xml:space="preserve"> </w:t>
      </w:r>
      <w:r w:rsidRPr="00952AAC">
        <w:rPr>
          <w:rFonts w:ascii="Arial" w:hAnsi="Arial" w:cs="Arial"/>
          <w:bCs/>
        </w:rPr>
        <w:t>zdravstvenom sustavu u post Covid razdoblju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  <w:b/>
        </w:rPr>
        <w:t xml:space="preserve">ZAKONSKE I DRUGE PODLOGE NA KOJIMA SE PROGRAM ZASNIVA: </w:t>
      </w:r>
      <w:r w:rsidRPr="00952AAC">
        <w:rPr>
          <w:rFonts w:ascii="Arial" w:hAnsi="Arial" w:cs="Arial"/>
        </w:rPr>
        <w:t>Zakon o zdravstvenoj zaštiti, Zakon o kvaliteti zdravstvene zaštite, Zakon o zaštiti prava pacijenata. Strategija za obnovu - unaprjeđenje energetske i resursne učinkovitosti javnih i privatnih zgrada, Izvješće o energetskom pregledu građevina Bolnice od 2014. godine izrađeno od strane ovlaštene tvrtke.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 xml:space="preserve">ISHODIŠTE I POKAZATELJI NA KOJIMA SE ZASNIVAJU IZRAČUNI I OCJENE POTREBNIH SREDSTAVA ZA PROVOĐENJE PROGRAMA: </w:t>
      </w:r>
    </w:p>
    <w:p w:rsidR="004738B9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  <w:bCs/>
        </w:rPr>
        <w:lastRenderedPageBreak/>
        <w:t>N</w:t>
      </w:r>
      <w:r w:rsidRPr="00952AAC">
        <w:rPr>
          <w:rFonts w:ascii="Arial" w:hAnsi="Arial" w:cs="Arial"/>
        </w:rPr>
        <w:t>abavka suvremene medicinske opreme i ostale opreme u cilju što kvalitetnije zdravstvene usluge, kao i uređenje Bolničkih prostora i opreme najvažniji dijelovi su ovog programa. Pristupiti će se nadogradnji TWC</w:t>
      </w:r>
      <w:r w:rsidR="004738B9">
        <w:rPr>
          <w:rFonts w:ascii="Arial" w:hAnsi="Arial" w:cs="Arial"/>
        </w:rPr>
        <w:t>.</w:t>
      </w:r>
      <w:r w:rsidRPr="00952AAC">
        <w:rPr>
          <w:rFonts w:ascii="Arial" w:hAnsi="Arial" w:cs="Arial"/>
        </w:rPr>
        <w:t xml:space="preserve"> Dio programa odnosi se na otplatu kredita prema kreditnoj instituciji a financira s</w:t>
      </w:r>
      <w:r>
        <w:rPr>
          <w:rFonts w:ascii="Arial" w:hAnsi="Arial" w:cs="Arial"/>
        </w:rPr>
        <w:t xml:space="preserve">e </w:t>
      </w:r>
      <w:r w:rsidRPr="00952AAC">
        <w:rPr>
          <w:rFonts w:ascii="Arial" w:hAnsi="Arial" w:cs="Arial"/>
        </w:rPr>
        <w:t>iz decentraliziranih sredstava. U konkretnom slučaju radi se</w:t>
      </w:r>
      <w:r w:rsidR="004738B9">
        <w:rPr>
          <w:rFonts w:ascii="Arial" w:hAnsi="Arial" w:cs="Arial"/>
        </w:rPr>
        <w:t xml:space="preserve"> o otplati </w:t>
      </w:r>
      <w:r w:rsidRPr="00952AAC">
        <w:rPr>
          <w:rFonts w:ascii="Arial" w:hAnsi="Arial" w:cs="Arial"/>
        </w:rPr>
        <w:t>kredita koji je realiziran u 2024. godini a služi</w:t>
      </w:r>
      <w:r w:rsidR="004738B9">
        <w:rPr>
          <w:rFonts w:ascii="Arial" w:hAnsi="Arial" w:cs="Arial"/>
        </w:rPr>
        <w:t>o je</w:t>
      </w:r>
      <w:r w:rsidRPr="00952AAC">
        <w:rPr>
          <w:rFonts w:ascii="Arial" w:hAnsi="Arial" w:cs="Arial"/>
        </w:rPr>
        <w:t xml:space="preserve"> nabavci MRI uređaja jačine 3T. 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</w:rPr>
      </w:pP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 xml:space="preserve">IZVJEŠTAJ O POSTIGNUTIM CILJEVIMA I REZULTATIMA PROGRAMA TEMELJENIM NA POKAZATELJIMA USPJEŠNOSTI U PRETHODNOJ GODINI: 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Ciljevi programa u potpunosti su ostvareni i kontinuirano se postižu uspješni rezultati u provođenju ovih aktivnosti.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Default="00AF5D9C" w:rsidP="00AF5D9C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NAČIN I SREDSTVA ZA REALIZACIJU PROGRAMA:</w:t>
      </w:r>
    </w:p>
    <w:p w:rsidR="004738B9" w:rsidRDefault="004738B9" w:rsidP="00AF5D9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/>
      </w:tblPr>
      <w:tblGrid>
        <w:gridCol w:w="857"/>
        <w:gridCol w:w="3555"/>
        <w:gridCol w:w="1635"/>
        <w:gridCol w:w="1635"/>
        <w:gridCol w:w="1606"/>
      </w:tblGrid>
      <w:tr w:rsidR="004738B9" w:rsidRPr="00E74DC1" w:rsidTr="00041333">
        <w:tc>
          <w:tcPr>
            <w:tcW w:w="817" w:type="dxa"/>
          </w:tcPr>
          <w:p w:rsidR="004738B9" w:rsidRPr="00E74DC1" w:rsidRDefault="004738B9" w:rsidP="0004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3969" w:type="dxa"/>
          </w:tcPr>
          <w:p w:rsidR="004738B9" w:rsidRPr="00E74DC1" w:rsidRDefault="004738B9" w:rsidP="0004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4DC1"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</w:tcPr>
          <w:p w:rsidR="004738B9" w:rsidRPr="00E74DC1" w:rsidRDefault="004738B9" w:rsidP="0004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C1">
              <w:rPr>
                <w:rFonts w:ascii="Arial" w:hAnsi="Arial" w:cs="Arial"/>
                <w:b/>
                <w:sz w:val="18"/>
                <w:szCs w:val="18"/>
              </w:rPr>
              <w:t>2026.</w:t>
            </w:r>
          </w:p>
        </w:tc>
        <w:tc>
          <w:tcPr>
            <w:tcW w:w="1701" w:type="dxa"/>
          </w:tcPr>
          <w:p w:rsidR="004738B9" w:rsidRPr="00E74DC1" w:rsidRDefault="004738B9" w:rsidP="0004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C1">
              <w:rPr>
                <w:rFonts w:ascii="Arial" w:hAnsi="Arial" w:cs="Arial"/>
                <w:b/>
                <w:sz w:val="18"/>
                <w:szCs w:val="18"/>
              </w:rPr>
              <w:t>2027.</w:t>
            </w:r>
          </w:p>
        </w:tc>
        <w:tc>
          <w:tcPr>
            <w:tcW w:w="1667" w:type="dxa"/>
          </w:tcPr>
          <w:p w:rsidR="004738B9" w:rsidRPr="00E74DC1" w:rsidRDefault="004738B9" w:rsidP="00041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C1">
              <w:rPr>
                <w:rFonts w:ascii="Arial" w:hAnsi="Arial" w:cs="Arial"/>
                <w:b/>
                <w:sz w:val="18"/>
                <w:szCs w:val="18"/>
              </w:rPr>
              <w:t>2028.</w:t>
            </w:r>
          </w:p>
        </w:tc>
      </w:tr>
      <w:tr w:rsidR="004738B9" w:rsidRPr="00E74DC1" w:rsidTr="00041333">
        <w:tc>
          <w:tcPr>
            <w:tcW w:w="817" w:type="dxa"/>
          </w:tcPr>
          <w:p w:rsidR="004738B9" w:rsidRPr="00E74DC1" w:rsidRDefault="004738B9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421015</w:t>
            </w:r>
          </w:p>
        </w:tc>
        <w:tc>
          <w:tcPr>
            <w:tcW w:w="3969" w:type="dxa"/>
          </w:tcPr>
          <w:p w:rsidR="004738B9" w:rsidRPr="00E74DC1" w:rsidRDefault="004738B9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Programi edukacije, prevencije i promocije zdravlja</w:t>
            </w:r>
          </w:p>
        </w:tc>
        <w:tc>
          <w:tcPr>
            <w:tcW w:w="1701" w:type="dxa"/>
          </w:tcPr>
          <w:p w:rsidR="004738B9" w:rsidRPr="00E74DC1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25.000,00</w:t>
            </w:r>
          </w:p>
        </w:tc>
        <w:tc>
          <w:tcPr>
            <w:tcW w:w="1701" w:type="dxa"/>
          </w:tcPr>
          <w:p w:rsidR="004738B9" w:rsidRPr="00E74DC1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25.000,00</w:t>
            </w:r>
          </w:p>
        </w:tc>
        <w:tc>
          <w:tcPr>
            <w:tcW w:w="1667" w:type="dxa"/>
          </w:tcPr>
          <w:p w:rsidR="004738B9" w:rsidRPr="00E74DC1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25.000,00</w:t>
            </w:r>
          </w:p>
        </w:tc>
      </w:tr>
      <w:tr w:rsidR="004738B9" w:rsidRPr="00E74DC1" w:rsidTr="00041333">
        <w:tc>
          <w:tcPr>
            <w:tcW w:w="817" w:type="dxa"/>
          </w:tcPr>
          <w:p w:rsidR="004738B9" w:rsidRPr="00E74DC1" w:rsidRDefault="004738B9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421016</w:t>
            </w:r>
          </w:p>
        </w:tc>
        <w:tc>
          <w:tcPr>
            <w:tcW w:w="3969" w:type="dxa"/>
          </w:tcPr>
          <w:p w:rsidR="004738B9" w:rsidRPr="00E74DC1" w:rsidRDefault="004738B9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Ulaganje i opremanje objekata</w:t>
            </w:r>
          </w:p>
        </w:tc>
        <w:tc>
          <w:tcPr>
            <w:tcW w:w="1701" w:type="dxa"/>
          </w:tcPr>
          <w:p w:rsidR="004738B9" w:rsidRPr="00E74DC1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1.196.000,00</w:t>
            </w:r>
          </w:p>
        </w:tc>
        <w:tc>
          <w:tcPr>
            <w:tcW w:w="1701" w:type="dxa"/>
          </w:tcPr>
          <w:p w:rsidR="004738B9" w:rsidRPr="00E74DC1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915.000,00</w:t>
            </w:r>
          </w:p>
        </w:tc>
        <w:tc>
          <w:tcPr>
            <w:tcW w:w="1667" w:type="dxa"/>
          </w:tcPr>
          <w:p w:rsidR="004738B9" w:rsidRPr="00E74DC1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915.000,00</w:t>
            </w:r>
          </w:p>
        </w:tc>
      </w:tr>
      <w:tr w:rsidR="004738B9" w:rsidRPr="008819EF" w:rsidTr="00041333">
        <w:tc>
          <w:tcPr>
            <w:tcW w:w="817" w:type="dxa"/>
          </w:tcPr>
          <w:p w:rsidR="004738B9" w:rsidRPr="00E74DC1" w:rsidRDefault="004738B9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421017</w:t>
            </w:r>
          </w:p>
        </w:tc>
        <w:tc>
          <w:tcPr>
            <w:tcW w:w="3969" w:type="dxa"/>
          </w:tcPr>
          <w:p w:rsidR="004738B9" w:rsidRPr="00E74DC1" w:rsidRDefault="004738B9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Zanavljanje voznog parka</w:t>
            </w:r>
          </w:p>
        </w:tc>
        <w:tc>
          <w:tcPr>
            <w:tcW w:w="1701" w:type="dxa"/>
          </w:tcPr>
          <w:p w:rsidR="004738B9" w:rsidRPr="00E74DC1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 xml:space="preserve">            0,00</w:t>
            </w:r>
          </w:p>
        </w:tc>
        <w:tc>
          <w:tcPr>
            <w:tcW w:w="1701" w:type="dxa"/>
          </w:tcPr>
          <w:p w:rsidR="004738B9" w:rsidRPr="00E74DC1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55.000,00</w:t>
            </w:r>
          </w:p>
        </w:tc>
        <w:tc>
          <w:tcPr>
            <w:tcW w:w="1667" w:type="dxa"/>
          </w:tcPr>
          <w:p w:rsidR="004738B9" w:rsidRPr="008819EF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4DC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738B9" w:rsidRPr="008819EF" w:rsidTr="00041333">
        <w:tc>
          <w:tcPr>
            <w:tcW w:w="817" w:type="dxa"/>
          </w:tcPr>
          <w:p w:rsidR="004738B9" w:rsidRPr="008819EF" w:rsidRDefault="004738B9" w:rsidP="004738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421034</w:t>
            </w:r>
          </w:p>
        </w:tc>
        <w:tc>
          <w:tcPr>
            <w:tcW w:w="3969" w:type="dxa"/>
          </w:tcPr>
          <w:p w:rsidR="004738B9" w:rsidRPr="008819EF" w:rsidRDefault="004738B9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Nadogradnja objekta TWC-a radi proširenja bolničkih kapaciteta</w:t>
            </w:r>
          </w:p>
        </w:tc>
        <w:tc>
          <w:tcPr>
            <w:tcW w:w="1701" w:type="dxa"/>
          </w:tcPr>
          <w:p w:rsidR="004738B9" w:rsidRPr="008819EF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4.300.000,00</w:t>
            </w:r>
          </w:p>
        </w:tc>
        <w:tc>
          <w:tcPr>
            <w:tcW w:w="1701" w:type="dxa"/>
          </w:tcPr>
          <w:p w:rsidR="004738B9" w:rsidRPr="008819EF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67" w:type="dxa"/>
          </w:tcPr>
          <w:p w:rsidR="004738B9" w:rsidRPr="008819EF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4738B9" w:rsidRPr="008819EF" w:rsidTr="00041333">
        <w:tc>
          <w:tcPr>
            <w:tcW w:w="817" w:type="dxa"/>
          </w:tcPr>
          <w:p w:rsidR="004738B9" w:rsidRPr="008819EF" w:rsidRDefault="004738B9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421035</w:t>
            </w:r>
          </w:p>
        </w:tc>
        <w:tc>
          <w:tcPr>
            <w:tcW w:w="3969" w:type="dxa"/>
          </w:tcPr>
          <w:p w:rsidR="004738B9" w:rsidRPr="008819EF" w:rsidRDefault="004738B9" w:rsidP="000413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Otplate kredita</w:t>
            </w:r>
          </w:p>
        </w:tc>
        <w:tc>
          <w:tcPr>
            <w:tcW w:w="1701" w:type="dxa"/>
          </w:tcPr>
          <w:p w:rsidR="004738B9" w:rsidRPr="008819EF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604.588,00</w:t>
            </w:r>
          </w:p>
        </w:tc>
        <w:tc>
          <w:tcPr>
            <w:tcW w:w="1701" w:type="dxa"/>
          </w:tcPr>
          <w:p w:rsidR="004738B9" w:rsidRPr="008819EF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1.380.641,00</w:t>
            </w:r>
          </w:p>
        </w:tc>
        <w:tc>
          <w:tcPr>
            <w:tcW w:w="1667" w:type="dxa"/>
          </w:tcPr>
          <w:p w:rsidR="004738B9" w:rsidRPr="008819EF" w:rsidRDefault="004738B9" w:rsidP="00041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1.367.708,00</w:t>
            </w:r>
          </w:p>
        </w:tc>
      </w:tr>
      <w:tr w:rsidR="004738B9" w:rsidRPr="008819EF" w:rsidTr="00041333">
        <w:tc>
          <w:tcPr>
            <w:tcW w:w="817" w:type="dxa"/>
          </w:tcPr>
          <w:p w:rsidR="004738B9" w:rsidRPr="008819EF" w:rsidRDefault="004738B9" w:rsidP="0004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4738B9" w:rsidRPr="008819EF" w:rsidRDefault="004738B9" w:rsidP="000413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19EF"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</w:tcPr>
          <w:p w:rsidR="004738B9" w:rsidRPr="008819EF" w:rsidRDefault="004738B9" w:rsidP="0004133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6.125</w:t>
            </w:r>
            <w:r w:rsidRPr="008819EF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588</w:t>
            </w:r>
            <w:r w:rsidRPr="008819EF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4738B9" w:rsidRPr="008819EF" w:rsidRDefault="004738B9" w:rsidP="0004133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819EF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375.641</w:t>
            </w:r>
            <w:r w:rsidRPr="008819EF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667" w:type="dxa"/>
          </w:tcPr>
          <w:p w:rsidR="004738B9" w:rsidRPr="008819EF" w:rsidRDefault="004738B9" w:rsidP="0004133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2.307</w:t>
            </w:r>
            <w:r w:rsidRPr="008819EF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708</w:t>
            </w:r>
            <w:r w:rsidRPr="008819EF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</w:tbl>
    <w:p w:rsidR="004738B9" w:rsidRDefault="004738B9" w:rsidP="004738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738B9" w:rsidRDefault="004738B9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A 421015 Programi edukacije, prevencije i promocije zdravlja</w:t>
      </w:r>
    </w:p>
    <w:p w:rsidR="00AF5D9C" w:rsidRPr="00952AAC" w:rsidRDefault="00AF5D9C" w:rsidP="00C06F85">
      <w:pPr>
        <w:spacing w:after="0" w:line="240" w:lineRule="auto"/>
        <w:jc w:val="both"/>
        <w:rPr>
          <w:rFonts w:ascii="Arial" w:hAnsi="Arial" w:cs="Arial"/>
          <w:bCs/>
        </w:rPr>
      </w:pPr>
      <w:r w:rsidRPr="00952AAC">
        <w:rPr>
          <w:rFonts w:ascii="Arial" w:hAnsi="Arial" w:cs="Arial"/>
          <w:bCs/>
        </w:rPr>
        <w:t>Na ovoj aktivnosti su planirani rashodi u visini 1</w:t>
      </w:r>
      <w:r w:rsidR="004738B9">
        <w:rPr>
          <w:rFonts w:ascii="Arial" w:hAnsi="Arial" w:cs="Arial"/>
          <w:bCs/>
        </w:rPr>
        <w:t>2</w:t>
      </w:r>
      <w:r w:rsidRPr="00952AAC">
        <w:rPr>
          <w:rFonts w:ascii="Arial" w:hAnsi="Arial" w:cs="Arial"/>
          <w:bCs/>
        </w:rPr>
        <w:t>.000,00 eura iz općih prihoda i primitaka Županije</w:t>
      </w:r>
      <w:r w:rsidR="004738B9">
        <w:rPr>
          <w:rFonts w:ascii="Arial" w:hAnsi="Arial" w:cs="Arial"/>
          <w:bCs/>
        </w:rPr>
        <w:t>, te 13.000,00 eura iz vlastitih prihoda,</w:t>
      </w:r>
      <w:r w:rsidRPr="00952AAC">
        <w:rPr>
          <w:rFonts w:ascii="Arial" w:hAnsi="Arial" w:cs="Arial"/>
          <w:bCs/>
        </w:rPr>
        <w:t xml:space="preserve"> a vezani za obilježavanje Svjetskog dana srca.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K 421016 Ulaganje i opremanje objekata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  <w:bCs/>
        </w:rPr>
        <w:t>U 202</w:t>
      </w:r>
      <w:r w:rsidR="004738B9">
        <w:rPr>
          <w:rFonts w:ascii="Arial" w:hAnsi="Arial" w:cs="Arial"/>
          <w:bCs/>
        </w:rPr>
        <w:t>6</w:t>
      </w:r>
      <w:r w:rsidRPr="00952AAC">
        <w:rPr>
          <w:rFonts w:ascii="Arial" w:hAnsi="Arial" w:cs="Arial"/>
          <w:bCs/>
        </w:rPr>
        <w:t>. godini planirano je 1.</w:t>
      </w:r>
      <w:r w:rsidR="004738B9">
        <w:rPr>
          <w:rFonts w:ascii="Arial" w:hAnsi="Arial" w:cs="Arial"/>
          <w:bCs/>
        </w:rPr>
        <w:t>196</w:t>
      </w:r>
      <w:r w:rsidRPr="00952AAC">
        <w:rPr>
          <w:rFonts w:ascii="Arial" w:hAnsi="Arial" w:cs="Arial"/>
          <w:bCs/>
        </w:rPr>
        <w:t>.</w:t>
      </w:r>
      <w:r w:rsidR="004738B9">
        <w:rPr>
          <w:rFonts w:ascii="Arial" w:hAnsi="Arial" w:cs="Arial"/>
          <w:bCs/>
        </w:rPr>
        <w:t>000</w:t>
      </w:r>
      <w:r w:rsidRPr="00952AAC">
        <w:rPr>
          <w:rFonts w:ascii="Arial" w:hAnsi="Arial" w:cs="Arial"/>
          <w:bCs/>
        </w:rPr>
        <w:t>,00 eura za ulaganja u ustanovi od čega opći prihodi primici Županije (</w:t>
      </w:r>
      <w:r w:rsidR="004738B9">
        <w:rPr>
          <w:rFonts w:ascii="Arial" w:hAnsi="Arial" w:cs="Arial"/>
          <w:bCs/>
        </w:rPr>
        <w:t>164.000</w:t>
      </w:r>
      <w:r w:rsidRPr="00952AAC">
        <w:rPr>
          <w:rFonts w:ascii="Arial" w:hAnsi="Arial" w:cs="Arial"/>
          <w:bCs/>
        </w:rPr>
        <w:t xml:space="preserve">,00 eura) odnose </w:t>
      </w:r>
      <w:r w:rsidR="00B400D5">
        <w:rPr>
          <w:rFonts w:ascii="Arial" w:hAnsi="Arial" w:cs="Arial"/>
          <w:bCs/>
        </w:rPr>
        <w:t xml:space="preserve">se </w:t>
      </w:r>
      <w:r w:rsidRPr="00952AAC">
        <w:rPr>
          <w:rFonts w:ascii="Arial" w:hAnsi="Arial" w:cs="Arial"/>
          <w:bCs/>
        </w:rPr>
        <w:t xml:space="preserve">na </w:t>
      </w:r>
      <w:r w:rsidR="004738B9">
        <w:rPr>
          <w:rFonts w:ascii="Arial" w:hAnsi="Arial" w:cs="Arial"/>
          <w:bCs/>
        </w:rPr>
        <w:t xml:space="preserve">medicinsku opremu </w:t>
      </w:r>
      <w:r w:rsidR="00B400D5">
        <w:rPr>
          <w:rFonts w:ascii="Arial" w:hAnsi="Arial" w:cs="Arial"/>
          <w:bCs/>
        </w:rPr>
        <w:t xml:space="preserve">i to za dezintometar i za 2 uređaja za Sport lab. </w:t>
      </w:r>
      <w:r w:rsidRPr="00952AAC">
        <w:rPr>
          <w:rFonts w:ascii="Arial" w:hAnsi="Arial" w:cs="Arial"/>
        </w:rPr>
        <w:t xml:space="preserve">Iz decentraliziranih sredstava planirano je </w:t>
      </w:r>
      <w:r w:rsidR="00B400D5">
        <w:rPr>
          <w:rFonts w:ascii="Arial" w:hAnsi="Arial" w:cs="Arial"/>
        </w:rPr>
        <w:t>39.000</w:t>
      </w:r>
      <w:r w:rsidRPr="00952AAC">
        <w:rPr>
          <w:rFonts w:ascii="Arial" w:hAnsi="Arial" w:cs="Arial"/>
        </w:rPr>
        <w:t xml:space="preserve">,00 eura za </w:t>
      </w:r>
      <w:r w:rsidR="00B400D5">
        <w:rPr>
          <w:rFonts w:ascii="Arial" w:hAnsi="Arial" w:cs="Arial"/>
        </w:rPr>
        <w:t>dio vrijednosti kardiološkog UTZ-a.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K 421017 Zanavljanje voznog parka</w:t>
      </w:r>
    </w:p>
    <w:p w:rsidR="00AF5D9C" w:rsidRPr="00952AAC" w:rsidRDefault="00B400D5" w:rsidP="00AF5D9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Tek će se u</w:t>
      </w:r>
      <w:r w:rsidR="00AF5D9C" w:rsidRPr="00952AAC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7</w:t>
      </w:r>
      <w:r w:rsidR="00AF5D9C" w:rsidRPr="00952AAC">
        <w:rPr>
          <w:rFonts w:ascii="Arial" w:hAnsi="Arial" w:cs="Arial"/>
          <w:bCs/>
        </w:rPr>
        <w:t>. godini iz izvora prihod</w:t>
      </w:r>
      <w:r>
        <w:rPr>
          <w:rFonts w:ascii="Arial" w:hAnsi="Arial" w:cs="Arial"/>
          <w:bCs/>
        </w:rPr>
        <w:t xml:space="preserve">i za posebne namjene pristupiti </w:t>
      </w:r>
      <w:r w:rsidR="00AF5D9C" w:rsidRPr="00952AAC">
        <w:rPr>
          <w:rFonts w:ascii="Arial" w:hAnsi="Arial" w:cs="Arial"/>
          <w:bCs/>
        </w:rPr>
        <w:t>nabav</w:t>
      </w:r>
      <w:r>
        <w:rPr>
          <w:rFonts w:ascii="Arial" w:hAnsi="Arial" w:cs="Arial"/>
          <w:bCs/>
        </w:rPr>
        <w:t>ci</w:t>
      </w:r>
      <w:r w:rsidR="00AF5D9C" w:rsidRPr="00952AAC">
        <w:rPr>
          <w:rFonts w:ascii="Arial" w:hAnsi="Arial" w:cs="Arial"/>
          <w:bCs/>
        </w:rPr>
        <w:t xml:space="preserve"> jednog vozila ukupne vrijednosti  </w:t>
      </w:r>
      <w:r>
        <w:rPr>
          <w:rFonts w:ascii="Arial" w:hAnsi="Arial" w:cs="Arial"/>
          <w:bCs/>
        </w:rPr>
        <w:t>55.000</w:t>
      </w:r>
      <w:r w:rsidR="00AF5D9C" w:rsidRPr="00952AAC">
        <w:rPr>
          <w:rFonts w:ascii="Arial" w:hAnsi="Arial" w:cs="Arial"/>
          <w:bCs/>
        </w:rPr>
        <w:t xml:space="preserve">,00 eura u svrhu prijevoza pacijenata iz drugih bolnica na rehabilitaciju u TH Opatija. 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K 421034 Nadogradnja objekta TWC-a radi proširenja bolničkih kapaciteta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  <w:bCs/>
        </w:rPr>
        <w:t xml:space="preserve">Riječ </w:t>
      </w:r>
      <w:r w:rsidR="0043402C">
        <w:rPr>
          <w:rFonts w:ascii="Arial" w:hAnsi="Arial" w:cs="Arial"/>
          <w:bCs/>
        </w:rPr>
        <w:t xml:space="preserve">je </w:t>
      </w:r>
      <w:r w:rsidRPr="00952AAC">
        <w:rPr>
          <w:rFonts w:ascii="Arial" w:hAnsi="Arial" w:cs="Arial"/>
          <w:bCs/>
        </w:rPr>
        <w:t xml:space="preserve">o projektu proširenja bolničkih kapaciteta, procijenjene vrijednosti </w:t>
      </w:r>
      <w:r w:rsidR="0043402C">
        <w:rPr>
          <w:rFonts w:ascii="Arial" w:hAnsi="Arial" w:cs="Arial"/>
          <w:bCs/>
        </w:rPr>
        <w:t>4,3</w:t>
      </w:r>
      <w:r w:rsidRPr="00952AAC">
        <w:rPr>
          <w:rFonts w:ascii="Arial" w:hAnsi="Arial" w:cs="Arial"/>
          <w:bCs/>
        </w:rPr>
        <w:t xml:space="preserve"> milijuna eura, na način da se iznad TWC (Thalassowelness centar) nadogradi jedna etaža na kojoj će se nalaziti  bolnički smještajni kapaciteti, operacijska sala, dvorana za provođenje rehabilitacije i prostor za sterilizaciju i informatičku podršku.  Procijenjeno vrijeme izgradnje i uređenja je </w:t>
      </w:r>
      <w:r w:rsidR="0043402C">
        <w:rPr>
          <w:rFonts w:ascii="Arial" w:hAnsi="Arial" w:cs="Arial"/>
          <w:bCs/>
        </w:rPr>
        <w:t xml:space="preserve">jedna godina, i to </w:t>
      </w:r>
      <w:r w:rsidRPr="00952AAC">
        <w:rPr>
          <w:rFonts w:ascii="Arial" w:hAnsi="Arial" w:cs="Arial"/>
          <w:bCs/>
        </w:rPr>
        <w:t xml:space="preserve">putem kreditnog zaduženja </w:t>
      </w:r>
      <w:r w:rsidR="0043402C">
        <w:rPr>
          <w:rFonts w:ascii="Arial" w:hAnsi="Arial" w:cs="Arial"/>
          <w:bCs/>
        </w:rPr>
        <w:t>4.3</w:t>
      </w:r>
      <w:r w:rsidRPr="00952AAC">
        <w:rPr>
          <w:rFonts w:ascii="Arial" w:hAnsi="Arial" w:cs="Arial"/>
          <w:bCs/>
        </w:rPr>
        <w:t>00.000,00 eura</w:t>
      </w:r>
      <w:r w:rsidR="0043402C">
        <w:rPr>
          <w:rFonts w:ascii="Arial" w:hAnsi="Arial" w:cs="Arial"/>
          <w:bCs/>
        </w:rPr>
        <w:t>.</w:t>
      </w:r>
      <w:r w:rsidRPr="00952AAC">
        <w:rPr>
          <w:rFonts w:ascii="Arial" w:hAnsi="Arial" w:cs="Arial"/>
          <w:bCs/>
        </w:rPr>
        <w:t xml:space="preserve"> </w:t>
      </w:r>
      <w:r w:rsidRPr="00952AAC">
        <w:rPr>
          <w:rFonts w:ascii="Arial" w:hAnsi="Arial" w:cs="Arial"/>
        </w:rPr>
        <w:t xml:space="preserve">Nadogradnja  kata koja je planirana, izgradila bi se na krovu na kojem nema sadržaja, te bi bila neovisna od donjih etaža i imala bi zasebna dva ulaza. Nadogradnja je građevinske bruto površine P=718,96 m2. Zahtjevi za izgradnjom nadogradnje “TWC-a“ proizlaze iz kontinuiranog razvoja </w:t>
      </w:r>
      <w:r w:rsidRPr="00952AAC">
        <w:rPr>
          <w:rFonts w:ascii="Arial" w:hAnsi="Arial" w:cs="Arial"/>
        </w:rPr>
        <w:lastRenderedPageBreak/>
        <w:t>Ustanove, što u smislu povećanja zahtjeva za smještajnim kapacitetima, što zbog razvoja stručnog dijela u medicini gdje bi se zadovoljile sadašnje potrebe Bolnice, čime bi se potencijali u tom segmentu povećali. U nadograđenom dijelu zgrade nalazile bi se bolesničke sobe s kojima bi se povećao kapacitet smještajnih jedinica i povećanje u broju kreveta bi bilo 10 kreveta, operacijska sala s svim pripadajućim prostorima i medicinskim plinovima, dvorana za provođenje rehabilitacije, prostor za sterilizaciju, prostor tehničke zaštite i informatičke podrške, čekaonica, te na krovu nadogradnje „TWC-a“, bi se instalirali fotonaponski paneli za proizvodnju električne energije.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  <w:r w:rsidRPr="00952AAC">
        <w:rPr>
          <w:rFonts w:ascii="Arial" w:hAnsi="Arial" w:cs="Arial"/>
        </w:rPr>
        <w:t>Slijedom svega navedenog stavljanjem prostora nadogradnje „TWC-a“ u funkciju ne samo da bi se dobilo na stvaranju dodatne vrijednosti i kapaciteta Bolnice, već bi se postiglo da se unutar prostora obavljaju i zahvati koji se do sad nisu mogli provoditi zbog neimanja uvjeta, te zaokružio cjelokupni  ciklus kardiološke obrade, te dijagnostičkih i terapijskih postupaka s pacijentima unutar Bolnice.</w:t>
      </w: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A 421035 Otplate kredita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  <w:bCs/>
        </w:rPr>
      </w:pPr>
      <w:r w:rsidRPr="00952AAC">
        <w:rPr>
          <w:rFonts w:ascii="Arial" w:hAnsi="Arial" w:cs="Arial"/>
          <w:bCs/>
        </w:rPr>
        <w:t>U 202</w:t>
      </w:r>
      <w:r w:rsidR="0043402C">
        <w:rPr>
          <w:rFonts w:ascii="Arial" w:hAnsi="Arial" w:cs="Arial"/>
          <w:bCs/>
        </w:rPr>
        <w:t>6</w:t>
      </w:r>
      <w:r w:rsidRPr="00952AAC">
        <w:rPr>
          <w:rFonts w:ascii="Arial" w:hAnsi="Arial" w:cs="Arial"/>
          <w:bCs/>
        </w:rPr>
        <w:t xml:space="preserve">. godini otplate kredita se odnose na MRI uređaja jačine 3T, </w:t>
      </w:r>
      <w:r w:rsidR="0043402C">
        <w:rPr>
          <w:rFonts w:ascii="Arial" w:hAnsi="Arial" w:cs="Arial"/>
          <w:bCs/>
        </w:rPr>
        <w:t>i no</w:t>
      </w:r>
      <w:r w:rsidR="006459EC">
        <w:rPr>
          <w:rFonts w:ascii="Arial" w:hAnsi="Arial" w:cs="Arial"/>
          <w:bCs/>
        </w:rPr>
        <w:t xml:space="preserve">vi kredit za nadogradnju TWC-a. </w:t>
      </w:r>
      <w:r w:rsidRPr="00952AAC">
        <w:rPr>
          <w:rFonts w:ascii="Arial" w:hAnsi="Arial" w:cs="Arial"/>
          <w:bCs/>
        </w:rPr>
        <w:t xml:space="preserve"> 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</w:p>
    <w:p w:rsidR="002A15DB" w:rsidRPr="002A15DB" w:rsidRDefault="00AF5D9C" w:rsidP="002A15DB">
      <w:pPr>
        <w:spacing w:after="0"/>
        <w:jc w:val="both"/>
        <w:rPr>
          <w:rFonts w:ascii="Arial" w:hAnsi="Arial" w:cs="Arial"/>
        </w:rPr>
      </w:pPr>
      <w:r w:rsidRPr="00952AAC">
        <w:rPr>
          <w:rFonts w:ascii="Arial" w:hAnsi="Arial" w:cs="Arial"/>
          <w:b/>
        </w:rPr>
        <w:t xml:space="preserve">RAZLOG ODSTUPANJA OD PROŠLOGODINJIH PROJEKCIJA: </w:t>
      </w:r>
      <w:r w:rsidR="002A15DB" w:rsidRPr="002A15DB">
        <w:rPr>
          <w:rFonts w:ascii="Arial" w:hAnsi="Arial" w:cs="Arial"/>
        </w:rPr>
        <w:t>Razlog odstupanja od prošlogodišnjih projekcija nastao je prvenstveno zbog kompleksnosti u pripremi cjelokupne dokumentacije i pripremnih radnji, kao i razrada</w:t>
      </w:r>
      <w:r w:rsidR="002A15DB">
        <w:rPr>
          <w:rFonts w:ascii="Arial" w:hAnsi="Arial" w:cs="Arial"/>
        </w:rPr>
        <w:t xml:space="preserve"> i promjena</w:t>
      </w:r>
      <w:r w:rsidR="002A15DB" w:rsidRPr="002A15DB">
        <w:rPr>
          <w:rFonts w:ascii="Arial" w:hAnsi="Arial" w:cs="Arial"/>
        </w:rPr>
        <w:t xml:space="preserve"> izvora financiranja te je kompletan projekt „Nadogradnja objekta TWC-a radi proširenja bolničkih kapaciteta“ kao i realizacija kredita za realizaciju istog pomaknuta sa prethodne </w:t>
      </w:r>
      <w:r w:rsidR="002A15DB">
        <w:rPr>
          <w:rFonts w:ascii="Arial" w:hAnsi="Arial" w:cs="Arial"/>
        </w:rPr>
        <w:t xml:space="preserve">2025. </w:t>
      </w:r>
      <w:r w:rsidR="002A15DB" w:rsidRPr="002A15DB">
        <w:rPr>
          <w:rFonts w:ascii="Arial" w:hAnsi="Arial" w:cs="Arial"/>
        </w:rPr>
        <w:t>godine na 2026. godinu te se i obveza povrata kredita pomakla u godišnjim planovima.</w:t>
      </w:r>
    </w:p>
    <w:p w:rsidR="00AF5D9C" w:rsidRPr="00952AAC" w:rsidRDefault="00AF5D9C" w:rsidP="00AF5D9C">
      <w:pPr>
        <w:spacing w:after="0" w:line="240" w:lineRule="auto"/>
        <w:jc w:val="both"/>
        <w:rPr>
          <w:rFonts w:ascii="Arial" w:hAnsi="Arial" w:cs="Arial"/>
        </w:rPr>
      </w:pPr>
    </w:p>
    <w:p w:rsidR="00AF5D9C" w:rsidRPr="00952AAC" w:rsidRDefault="00AF5D9C" w:rsidP="00AF5D9C">
      <w:pPr>
        <w:spacing w:after="0" w:line="240" w:lineRule="auto"/>
        <w:rPr>
          <w:rFonts w:ascii="Arial" w:hAnsi="Arial" w:cs="Arial"/>
          <w:b/>
        </w:rPr>
      </w:pPr>
      <w:r w:rsidRPr="00952AAC">
        <w:rPr>
          <w:rFonts w:ascii="Arial" w:hAnsi="Arial" w:cs="Arial"/>
          <w:b/>
        </w:rPr>
        <w:t>POKAZATELJI USPJEŠNOSTI: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2126"/>
        <w:gridCol w:w="1276"/>
        <w:gridCol w:w="1218"/>
        <w:gridCol w:w="1276"/>
        <w:gridCol w:w="1276"/>
        <w:gridCol w:w="1276"/>
      </w:tblGrid>
      <w:tr w:rsidR="00AF5D9C" w:rsidRPr="00952AAC" w:rsidTr="00C20844">
        <w:trPr>
          <w:trHeight w:val="634"/>
        </w:trPr>
        <w:tc>
          <w:tcPr>
            <w:tcW w:w="1413" w:type="dxa"/>
            <w:shd w:val="clear" w:color="auto" w:fill="auto"/>
            <w:vAlign w:val="center"/>
          </w:tcPr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A8">
              <w:rPr>
                <w:rFonts w:ascii="Arial" w:hAnsi="Arial" w:cs="Arial"/>
                <w:b/>
                <w:sz w:val="20"/>
                <w:szCs w:val="20"/>
              </w:rPr>
              <w:t>Pokazatelj uspješnosti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A8">
              <w:rPr>
                <w:rFonts w:ascii="Arial" w:hAnsi="Arial" w:cs="Arial"/>
                <w:b/>
                <w:sz w:val="20"/>
                <w:szCs w:val="20"/>
              </w:rPr>
              <w:t>Definicija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A8">
              <w:rPr>
                <w:rFonts w:ascii="Arial" w:hAnsi="Arial" w:cs="Arial"/>
                <w:b/>
                <w:sz w:val="20"/>
                <w:szCs w:val="20"/>
              </w:rPr>
              <w:t>Jedinica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A8">
              <w:rPr>
                <w:rFonts w:ascii="Arial" w:hAnsi="Arial" w:cs="Arial"/>
                <w:b/>
                <w:sz w:val="20"/>
                <w:szCs w:val="20"/>
              </w:rPr>
              <w:t>Polazna vrijednost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9C" w:rsidRPr="009B78A8" w:rsidRDefault="00AF5D9C" w:rsidP="006459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A8">
              <w:rPr>
                <w:rFonts w:ascii="Arial" w:hAnsi="Arial" w:cs="Arial"/>
                <w:b/>
                <w:sz w:val="20"/>
                <w:szCs w:val="20"/>
              </w:rPr>
              <w:t>Ciljana vrijednost 202</w:t>
            </w:r>
            <w:r w:rsidR="006459E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B78A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F5D9C" w:rsidRPr="009B78A8" w:rsidRDefault="00AF5D9C" w:rsidP="006459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A8">
              <w:rPr>
                <w:rFonts w:ascii="Arial" w:hAnsi="Arial" w:cs="Arial"/>
                <w:b/>
                <w:sz w:val="20"/>
                <w:szCs w:val="20"/>
              </w:rPr>
              <w:t>Ciljana vrijednost 202</w:t>
            </w:r>
            <w:r w:rsidR="006459E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9B78A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F5D9C" w:rsidRPr="009B78A8" w:rsidRDefault="00AF5D9C" w:rsidP="006459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A8">
              <w:rPr>
                <w:rFonts w:ascii="Arial" w:hAnsi="Arial" w:cs="Arial"/>
                <w:b/>
                <w:sz w:val="20"/>
                <w:szCs w:val="20"/>
              </w:rPr>
              <w:t>Ciljana vrijednost 202</w:t>
            </w:r>
            <w:r w:rsidR="006459EC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9B78A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F5D9C" w:rsidRPr="00952AAC" w:rsidTr="00C20844">
        <w:trPr>
          <w:trHeight w:val="207"/>
        </w:trPr>
        <w:tc>
          <w:tcPr>
            <w:tcW w:w="1413" w:type="dxa"/>
            <w:shd w:val="clear" w:color="auto" w:fill="auto"/>
          </w:tcPr>
          <w:p w:rsidR="00AF5D9C" w:rsidRPr="009B78A8" w:rsidRDefault="00AF5D9C" w:rsidP="00C20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8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Postotak realizacije projekta nadogradnje TWC-a</w:t>
            </w:r>
          </w:p>
        </w:tc>
        <w:tc>
          <w:tcPr>
            <w:tcW w:w="2126" w:type="dxa"/>
            <w:shd w:val="clear" w:color="auto" w:fill="auto"/>
          </w:tcPr>
          <w:p w:rsidR="00AF5D9C" w:rsidRPr="009B78A8" w:rsidRDefault="00AF5D9C" w:rsidP="00C20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8A8">
              <w:rPr>
                <w:rFonts w:ascii="Arial" w:hAnsi="Arial" w:cs="Arial"/>
                <w:sz w:val="20"/>
                <w:szCs w:val="20"/>
              </w:rPr>
              <w:t>Ovim projektom se povećavaju kapaciteti bolnice i samim time ostvaruje veće mogućnosti dodatnih prihoda</w:t>
            </w:r>
          </w:p>
        </w:tc>
        <w:tc>
          <w:tcPr>
            <w:tcW w:w="1276" w:type="dxa"/>
            <w:shd w:val="clear" w:color="auto" w:fill="auto"/>
          </w:tcPr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A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18" w:type="dxa"/>
            <w:shd w:val="clear" w:color="auto" w:fill="auto"/>
          </w:tcPr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5D9C" w:rsidRPr="009B78A8" w:rsidRDefault="00AF5D9C" w:rsidP="00C20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A8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5D9C" w:rsidRPr="009B78A8" w:rsidRDefault="00AF5D9C" w:rsidP="00C20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F5D9C" w:rsidRPr="009B78A8" w:rsidRDefault="006459EC" w:rsidP="006459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AF5D9C" w:rsidRPr="009B78A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5D9C" w:rsidRPr="009B78A8" w:rsidRDefault="00AF5D9C" w:rsidP="00C20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5D9C" w:rsidRPr="009B78A8" w:rsidRDefault="00AF5D9C" w:rsidP="00C20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5D9C" w:rsidRPr="009B78A8" w:rsidRDefault="00AF5D9C" w:rsidP="00C208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2923F6" w:rsidRDefault="007036E4"/>
    <w:sectPr w:rsidR="002923F6" w:rsidSect="00220B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6E4" w:rsidRDefault="007036E4" w:rsidP="00DE4053">
      <w:pPr>
        <w:spacing w:after="0" w:line="240" w:lineRule="auto"/>
      </w:pPr>
      <w:r>
        <w:separator/>
      </w:r>
    </w:p>
  </w:endnote>
  <w:endnote w:type="continuationSeparator" w:id="1">
    <w:p w:rsidR="007036E4" w:rsidRDefault="007036E4" w:rsidP="00DE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67422"/>
      <w:docPartObj>
        <w:docPartGallery w:val="Page Numbers (Bottom of Page)"/>
        <w:docPartUnique/>
      </w:docPartObj>
    </w:sdtPr>
    <w:sdtContent>
      <w:p w:rsidR="00DE4053" w:rsidRDefault="00E71E5D">
        <w:pPr>
          <w:pStyle w:val="Podnoje"/>
          <w:jc w:val="center"/>
        </w:pPr>
        <w:fldSimple w:instr=" PAGE   \* MERGEFORMAT ">
          <w:r w:rsidR="003A61BA">
            <w:rPr>
              <w:noProof/>
            </w:rPr>
            <w:t>1</w:t>
          </w:r>
        </w:fldSimple>
      </w:p>
    </w:sdtContent>
  </w:sdt>
  <w:p w:rsidR="00DE4053" w:rsidRDefault="00DE405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6E4" w:rsidRDefault="007036E4" w:rsidP="00DE4053">
      <w:pPr>
        <w:spacing w:after="0" w:line="240" w:lineRule="auto"/>
      </w:pPr>
      <w:r>
        <w:separator/>
      </w:r>
    </w:p>
  </w:footnote>
  <w:footnote w:type="continuationSeparator" w:id="1">
    <w:p w:rsidR="007036E4" w:rsidRDefault="007036E4" w:rsidP="00DE4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F5B8C"/>
    <w:multiLevelType w:val="hybridMultilevel"/>
    <w:tmpl w:val="C26C3E00"/>
    <w:lvl w:ilvl="0" w:tplc="330849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D9C"/>
    <w:rsid w:val="00073304"/>
    <w:rsid w:val="000B43DB"/>
    <w:rsid w:val="000D6684"/>
    <w:rsid w:val="00220B7E"/>
    <w:rsid w:val="002A15DB"/>
    <w:rsid w:val="002D54AF"/>
    <w:rsid w:val="00336828"/>
    <w:rsid w:val="003411D8"/>
    <w:rsid w:val="003A61BA"/>
    <w:rsid w:val="0043402C"/>
    <w:rsid w:val="004738B9"/>
    <w:rsid w:val="0052052E"/>
    <w:rsid w:val="006459EC"/>
    <w:rsid w:val="006D5667"/>
    <w:rsid w:val="007036E4"/>
    <w:rsid w:val="009661B5"/>
    <w:rsid w:val="00A07906"/>
    <w:rsid w:val="00A4710F"/>
    <w:rsid w:val="00A67319"/>
    <w:rsid w:val="00AF5D9C"/>
    <w:rsid w:val="00B35A14"/>
    <w:rsid w:val="00B400D5"/>
    <w:rsid w:val="00BB2FDF"/>
    <w:rsid w:val="00BE59E3"/>
    <w:rsid w:val="00C06F85"/>
    <w:rsid w:val="00C12E72"/>
    <w:rsid w:val="00C17502"/>
    <w:rsid w:val="00CA0F2A"/>
    <w:rsid w:val="00CA4E11"/>
    <w:rsid w:val="00D257C0"/>
    <w:rsid w:val="00D361BD"/>
    <w:rsid w:val="00D53E45"/>
    <w:rsid w:val="00DE4053"/>
    <w:rsid w:val="00E400C5"/>
    <w:rsid w:val="00E71E5D"/>
    <w:rsid w:val="00ED0B3F"/>
    <w:rsid w:val="00F877FA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9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D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FDF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D6684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DE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E4053"/>
    <w:rPr>
      <w:rFonts w:ascii="Calibri" w:eastAsia="Calibri" w:hAnsi="Calibri" w:cs="Times New Roman"/>
      <w:sz w:val="22"/>
    </w:rPr>
  </w:style>
  <w:style w:type="paragraph" w:styleId="Podnoje">
    <w:name w:val="footer"/>
    <w:basedOn w:val="Normal"/>
    <w:link w:val="PodnojeChar"/>
    <w:uiPriority w:val="99"/>
    <w:unhideWhenUsed/>
    <w:rsid w:val="00DE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4053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16948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Hunjadi Korošec</dc:creator>
  <cp:lastModifiedBy>csamsa</cp:lastModifiedBy>
  <cp:revision>23</cp:revision>
  <dcterms:created xsi:type="dcterms:W3CDTF">2025-10-28T12:05:00Z</dcterms:created>
  <dcterms:modified xsi:type="dcterms:W3CDTF">2025-10-29T08:29:00Z</dcterms:modified>
</cp:coreProperties>
</file>